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81915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7"/>
              </w:rPr>
              <w:t>001-39773</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81-4895761</w:t>
            </w:r>
          </w:p>
        </w:tc>
      </w:tr>
      <w:tr>
        <w:trPr>
          <w:trHeight w:val="191"/>
        </w:trPr>
        <w:tc>
          <w:tcPr>
            <w:tcW w:w="4220" w:type="dxa"/>
            <w:vAlign w:val="bottom"/>
            <w:tcBorders>
              <w:top w:val="single" w:sz="8" w:color="auto"/>
            </w:tcBorders>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3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1510 Main Street</w:t>
            </w:r>
          </w:p>
        </w:tc>
        <w:tc>
          <w:tcPr>
            <w:tcW w:w="3020" w:type="dxa"/>
            <w:vAlign w:val="bottom"/>
          </w:tcPr>
          <w:p>
            <w:pPr>
              <w:spacing w:after="0"/>
              <w:rPr>
                <w:sz w:val="24"/>
                <w:szCs w:val="24"/>
                <w:color w:val="auto"/>
              </w:rPr>
            </w:pPr>
          </w:p>
        </w:tc>
      </w:tr>
      <w:tr>
        <w:trPr>
          <w:trHeight w:val="238"/>
        </w:trPr>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Shoemakersville, PA 19555</w:t>
            </w:r>
          </w:p>
        </w:tc>
        <w:tc>
          <w:tcPr>
            <w:tcW w:w="3020" w:type="dxa"/>
            <w:vAlign w:val="bottom"/>
          </w:tcPr>
          <w:p>
            <w:pPr>
              <w:spacing w:after="0"/>
              <w:rPr>
                <w:sz w:val="20"/>
                <w:szCs w:val="20"/>
                <w:color w:val="auto"/>
              </w:rPr>
            </w:pPr>
          </w:p>
        </w:tc>
      </w:tr>
      <w:tr>
        <w:trPr>
          <w:trHeight w:val="108"/>
        </w:trPr>
        <w:tc>
          <w:tcPr>
            <w:tcW w:w="4220" w:type="dxa"/>
            <w:vAlign w:val="bottom"/>
          </w:tcPr>
          <w:p>
            <w:pPr>
              <w:spacing w:after="0"/>
              <w:rPr>
                <w:sz w:val="9"/>
                <w:szCs w:val="9"/>
                <w:color w:val="auto"/>
              </w:rPr>
            </w:pPr>
          </w:p>
        </w:tc>
        <w:tc>
          <w:tcPr>
            <w:tcW w:w="2800" w:type="dxa"/>
            <w:vAlign w:val="bottom"/>
            <w:tcBorders>
              <w:bottom w:val="single" w:sz="8" w:color="auto"/>
            </w:tcBorders>
            <w:gridSpan w:val="3"/>
          </w:tcPr>
          <w:p>
            <w:pPr>
              <w:spacing w:after="0"/>
              <w:rPr>
                <w:sz w:val="9"/>
                <w:szCs w:val="9"/>
                <w:color w:val="auto"/>
              </w:rPr>
            </w:pPr>
          </w:p>
        </w:tc>
        <w:tc>
          <w:tcPr>
            <w:tcW w:w="1200" w:type="dxa"/>
            <w:vAlign w:val="bottom"/>
            <w:gridSpan w:val="2"/>
          </w:tcPr>
          <w:p>
            <w:pPr>
              <w:spacing w:after="0"/>
              <w:rPr>
                <w:sz w:val="9"/>
                <w:szCs w:val="9"/>
                <w:color w:val="auto"/>
              </w:rPr>
            </w:pPr>
          </w:p>
        </w:tc>
        <w:tc>
          <w:tcPr>
            <w:tcW w:w="3020" w:type="dxa"/>
            <w:vAlign w:val="bottom"/>
          </w:tcPr>
          <w:p>
            <w:pPr>
              <w:spacing w:after="0"/>
              <w:rPr>
                <w:sz w:val="9"/>
                <w:szCs w:val="9"/>
                <w:color w:val="auto"/>
              </w:rPr>
            </w:pPr>
          </w:p>
        </w:tc>
      </w:tr>
      <w:tr>
        <w:trPr>
          <w:trHeight w:val="299"/>
        </w:trPr>
        <w:tc>
          <w:tcPr>
            <w:tcW w:w="4220" w:type="dxa"/>
            <w:vAlign w:val="bottom"/>
          </w:tcPr>
          <w:p>
            <w:pPr>
              <w:spacing w:after="0"/>
              <w:rPr>
                <w:sz w:val="24"/>
                <w:szCs w:val="24"/>
                <w:color w:val="auto"/>
              </w:rPr>
            </w:pPr>
          </w:p>
        </w:tc>
        <w:tc>
          <w:tcPr>
            <w:tcW w:w="4000" w:type="dxa"/>
            <w:vAlign w:val="bottom"/>
            <w:gridSpan w:val="5"/>
          </w:tcPr>
          <w:p>
            <w:pPr>
              <w:jc w:val="center"/>
              <w:ind w:right="118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020" w:type="dxa"/>
            <w:vAlign w:val="bottom"/>
          </w:tcPr>
          <w:p>
            <w:pPr>
              <w:spacing w:after="0"/>
              <w:rPr>
                <w:sz w:val="24"/>
                <w:szCs w:val="24"/>
                <w:color w:val="auto"/>
              </w:rPr>
            </w:pPr>
          </w:p>
        </w:tc>
      </w:tr>
      <w:tr>
        <w:trPr>
          <w:trHeight w:val="234"/>
        </w:trPr>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30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(707) 765-9990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ind w:right="6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HYFM</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Certifying Accountant.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(the “Committee”) of the Board of Directors (the “Board”) of Hydrofarm Holdings Group, Inc (the “Company”) undertook a selection process to determine the Company’s independent registered public accounting firm for the fiscal year ending December 31, 2026. On April 14, 2026, the Committee approved the engagement of CBIZ CPAs P.C. (“CBIZ CPAs”) as its independent registered public accounting firm for the fiscal year ending December 31, 2026. At the same time, the Committee dismissed Deloitte &amp; Touche LLP (“Deloitte”) as independent registered public accounting firm of the Company effective April 14, 2026. This change was not a result of any disagreement between the Company and Deloitte.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reports of Deloitte on the Company’s financial statements for the years ended December 31, 2025 and 2024 did not contain an adverse opinion or disclaimer of opinion, and such reports were not qualified or modified as to uncertainty, audit scope, or accounting principle.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April 14, 2026, there were: (i) no “disagreements” (as that term is defined in Item 304(a)(1)(iv) of Regulation S-K and the related instructions) between the Company and Deloitte on any matter of accounting principles or practices, financial statement disclosure, or auditing scope or procedure, which disagreements, if not resolved to Deloitte’s satisfaction, would have caused Deloitte to make reference to them in its reports; and (ii) no “reportable events” (as that term is defined in Item 304(a)(1) (v) of Regulation 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provided Deloitte with a copy of the disclosures the Company is making in this Current Report on Form 8-K and requested that Deloitte furnish a letter to the Company addressed to the U.S. Securities and Exchange Commission (“SEC”) stating whether it agrees with the statements made herein. A copy of Deloitte’s letter, stating its agreement with such statements, is filed as Exhibit 16.1 to this Current Report on Form 8-K.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interim period through April 14, 2026, neither the Company nor anyone on its behalf consulted with CBIZ CPAs regarding: (i) the application of accounting principles to a specified transaction, either proposed or completed, or the type of audit opinion that might be rendered on the Company’s financial statements, and neither a written report nor oral advice was provided to the Company that CBIZ CPAs concluded was an important factor considered by the Company in reaching a decision as to the accounting, auditing or financial reporting issue; or (ii) any matter that was either the subject of a “disagreement” (as that term is defined in Item 304(a)(1)(iv) of Regulation S-K and the related instructions) or a “reportable event” (as that term is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38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4"/>
                <w:szCs w:val="24"/>
                <w:color w:val="auto"/>
              </w:rPr>
            </w:pPr>
          </w:p>
        </w:tc>
        <w:tc>
          <w:tcPr>
            <w:tcW w:w="2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Letter from Deloitte &amp; Touche LLP</w:t>
            </w:r>
          </w:p>
        </w:tc>
        <w:tc>
          <w:tcPr>
            <w:tcW w:w="6100" w:type="dxa"/>
            <w:vAlign w:val="bottom"/>
          </w:tcPr>
          <w:p>
            <w:pPr>
              <w:spacing w:after="0"/>
              <w:rPr>
                <w:sz w:val="24"/>
                <w:szCs w:val="24"/>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331"/>
        </w:trPr>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7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tc>
        <w:tc>
          <w:tcPr>
            <w:tcW w:w="120" w:type="dxa"/>
            <w:vAlign w:val="bottom"/>
          </w:tcPr>
          <w:p>
            <w:pPr>
              <w:spacing w:after="0"/>
              <w:rPr>
                <w:sz w:val="20"/>
                <w:szCs w:val="20"/>
                <w:color w:val="auto"/>
              </w:rPr>
            </w:pPr>
          </w:p>
        </w:tc>
      </w:tr>
      <w:tr>
        <w:trPr>
          <w:trHeight w:val="43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16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By:</w:t>
            </w: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Toler</w:t>
            </w:r>
          </w:p>
        </w:tc>
        <w:tc>
          <w:tcPr>
            <w:tcW w:w="120" w:type="dxa"/>
            <w:vAlign w:val="bottom"/>
          </w:tcPr>
          <w:p>
            <w:pPr>
              <w:spacing w:after="0"/>
              <w:rPr>
                <w:sz w:val="24"/>
                <w:szCs w:val="24"/>
                <w:color w:val="auto"/>
              </w:rPr>
            </w:pPr>
          </w:p>
        </w:tc>
      </w:tr>
      <w:tr>
        <w:trPr>
          <w:trHeight w:val="191"/>
        </w:trPr>
        <w:tc>
          <w:tcPr>
            <w:tcW w:w="2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William Toler</w:t>
            </w:r>
          </w:p>
        </w:tc>
        <w:tc>
          <w:tcPr>
            <w:tcW w:w="120" w:type="dxa"/>
            <w:vAlign w:val="bottom"/>
          </w:tcPr>
          <w:p>
            <w:pPr>
              <w:spacing w:after="0"/>
              <w:rPr>
                <w:sz w:val="16"/>
                <w:szCs w:val="16"/>
                <w:color w:val="auto"/>
              </w:rPr>
            </w:pPr>
          </w:p>
        </w:tc>
      </w:tr>
      <w:tr>
        <w:trPr>
          <w:trHeight w:val="216"/>
        </w:trPr>
        <w:tc>
          <w:tcPr>
            <w:tcW w:w="2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&amp; Executive Chairman of the Board of Directors</w:t>
            </w:r>
          </w:p>
        </w:tc>
        <w:tc>
          <w:tcPr>
            <w:tcW w:w="12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r>
      <w:tr>
        <w:trPr>
          <w:trHeight w:val="270"/>
        </w:trPr>
        <w:tc>
          <w:tcPr>
            <w:tcW w:w="24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7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read Item 4.01 of Hydrofarm Holding Group Inc.'s Form 8-K dated April 17, 2026, and have the following comments.</w:t>
      </w:r>
    </w:p>
    <w:p>
      <w:pPr>
        <w:spacing w:after="0" w:line="23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with the statements made in the first, second, third and fourth paragraph.</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basis on which to agree or disagree with the statements made in the fifth paragraph.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2026-04-20T05:03:28Z</dcterms:created>
  <dcterms:modified xsi:type="dcterms:W3CDTF">2026-04-20T05:03:28Z</dcterms:modified>
</cp:coreProperties>
</file>