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30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81-4895761</w:t>
            </w:r>
          </w:p>
        </w:tc>
      </w:tr>
      <w:tr>
        <w:trPr>
          <w:trHeight w:val="216"/>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02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12"/>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4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1510 Main Street</w:t>
            </w:r>
          </w:p>
        </w:tc>
        <w:tc>
          <w:tcPr>
            <w:tcW w:w="302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3020" w:type="dxa"/>
            <w:vAlign w:val="bottom"/>
          </w:tcPr>
          <w:p>
            <w:pPr>
              <w:spacing w:after="0"/>
              <w:rPr>
                <w:sz w:val="20"/>
                <w:szCs w:val="20"/>
                <w:color w:val="auto"/>
              </w:rPr>
            </w:pPr>
          </w:p>
        </w:tc>
      </w:tr>
      <w:tr>
        <w:trPr>
          <w:trHeight w:val="54"/>
        </w:trPr>
        <w:tc>
          <w:tcPr>
            <w:tcW w:w="342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3020" w:type="dxa"/>
            <w:vAlign w:val="bottom"/>
          </w:tcPr>
          <w:p>
            <w:pPr>
              <w:spacing w:after="0"/>
              <w:rPr>
                <w:sz w:val="4"/>
                <w:szCs w:val="4"/>
                <w:color w:val="auto"/>
              </w:rPr>
            </w:pPr>
          </w:p>
        </w:tc>
      </w:tr>
      <w:tr>
        <w:trPr>
          <w:trHeight w:val="245"/>
        </w:trPr>
        <w:tc>
          <w:tcPr>
            <w:tcW w:w="34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20" w:type="dxa"/>
            <w:vAlign w:val="bottom"/>
          </w:tcPr>
          <w:p>
            <w:pPr>
              <w:spacing w:after="0"/>
              <w:rPr>
                <w:sz w:val="21"/>
                <w:szCs w:val="21"/>
                <w:color w:val="auto"/>
              </w:rPr>
            </w:pPr>
          </w:p>
        </w:tc>
      </w:tr>
      <w:tr>
        <w:trPr>
          <w:trHeight w:val="234"/>
        </w:trPr>
        <w:tc>
          <w:tcPr>
            <w:tcW w:w="34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0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4"/>
          <w:szCs w:val="24"/>
          <w:color w:val="auto"/>
        </w:rPr>
      </w:pPr>
    </w:p>
    <w:p>
      <w:pPr>
        <w:ind w:right="6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right="2980" w:firstLine="8"/>
        <w:spacing w:after="0" w:line="255"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7"/>
        </w:trPr>
        <w:tc>
          <w:tcPr>
            <w:tcW w:w="4660" w:type="dxa"/>
            <w:vAlign w:val="bottom"/>
            <w:tcBorders>
              <w:top w:val="single" w:sz="8" w:color="auto"/>
              <w:left w:val="single" w:sz="8" w:color="auto"/>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Trading symbol(s)</w:t>
            </w:r>
          </w:p>
        </w:tc>
        <w:tc>
          <w:tcPr>
            <w:tcW w:w="4620" w:type="dxa"/>
            <w:vAlign w:val="bottom"/>
            <w:tcBorders>
              <w:top w:val="single" w:sz="8" w:color="auto"/>
              <w:bottom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6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9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HYFM</w:t>
            </w:r>
          </w:p>
        </w:tc>
        <w:tc>
          <w:tcPr>
            <w:tcW w:w="4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2026, Hydrofarm Holdings Group, Inc., a Delaware corporation (the “Company”), entered into that certain Forbearance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“Forbearance Agreement”) with the other credit parties from time to time party thereto (the “Credit Parties”), the lenders from time to time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and FEAC Agent, LLC, a Delaware limited liability company (“FEAC”, as successor in interest to JPMorgan Chase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as administrative agent for the Lenders (in such capacity, together with its successors and permitted assigns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as collateral agent for the Secured Parties (in such capacity, together with its successors and permitted assigns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the “Collateral Agent” and together with the Administrative Agent, collectively, the “Agents” and each an “Agent”),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 senior secured term loan (the “Term Loan”) borrowed by the Company pursuant to that certain Credit and Guaranty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2021 (as amended by Amendment No. 1 to Credit and Guaranty Agreement, dated as of June 27, 2023, and as further amended,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prior to the date hereof, the “Credit Agreement”), by and among the Company, the Credit Parties, the Lenders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as then-acting administrative agent and collateral agent.</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February 11, 2026, JPMorgan gave notice to the Company that an Event of Default (as defined in the Credit Agreement) has occurred and is continuing under Section 8.1(a)(ii) of the Credit Agreement as a result of the Company’s failure to pay interest with respect to the Term Loan due on January 31, 2026 within five days after such due date (such event, the “Specified Event of Default”).</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Forbearance Agreement, from April 8, 2026 (the “Forbearance Effective Date”) to the earliest to occur of (the occurrence of clause (i) or (ii), a “Forbearance Termination Event”): (i) April 30, 2026 (the “Forbearance Outside Date”) provided that the Forbearance Outside Date may be extended from time to time in fifteen (15) day increments (or longer) upon written confirmation by the Administrative Agent (including by email); and (ii) the delivery of notice from the Administrative Agent to the Company terminating the Forbearance Period (as defined below), which notice may be delivered at any time upon or after (A) the occurrence of any Event of Default (as defined in the Credit Agreement) (other than the Specified Event of Default, under the Credit Agreement or any other Credit Document (as defined in the Credit Agreement)) and (B) the failure of (x) the Company or any other Credit Party to comply with any of the Forbearance Period Requirements set forth in Section 7 of the Forbearance Agreement; (y) any representation or warranty made by the Company or any other Credit Party under or in connection with the forbearance to be true and complete as of the date when made or any other breach of any of such representation or warranty; or (z) the repudiation and/or assertion of any defense by any Credit Party with respect to the forbearance or any other Credit Document or the pursuit of any claim by any Credit Party against the Agents or any Lender (collectively, the “Forbearance Period”), solely with respect to the Specified Event of Default, neither the Administrative Agent nor any Lender shall, upon the terms and conditions expressly specified therein, take any action, commence any proceedings against any Credit Party or any other person with respect to the enforcement of any of its or their rights or remedies under the Credit Documents or applicable law, other than as expressly described in the Forbearance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Forbearance Agreement contains customary representations, warranties, conditions, covenants and releases by the parties thereto for an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of this nature. Additionally, the Forbearance Agreement contains certain specified requirements for the Company and its subsidiaries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forbearance period, including but not limited to: (i) presenting to the Lenders at least two bids from asset valuation providers and a cash flow projection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designated financial advisor on behalf of the Company and its subsidiaries (the “Financial Advisor”); (ii) providing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regular evidence during the Forbearance Period of, as of any date of determination, the average daily cash balance of the Company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(iii) attending regularly scheduled calls with the Lenders to discuss financial affairs, business operations and other topics that the Lenders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 appropriate; (iv) presenting an initial budget for the Company to be approved by the Financial Advisor (the “Initial Approved Budget”)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providing the Lenders, prior to each call, a proposed budget of the Company and variance report to the prior Approved Budget that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to the Financial Advisor (each such proposed budget, a “Proposed Budget”) which Lenders shall approve in their reasonable judgement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it (or in the event the Lenders do not approve any Proposed Budget, the Initial Approved Budget), shall be the “Approved Budget”) or reject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Budget (in which case the previously Approved Budget shall remain in effect); (v) delivering to the Lenders a term sheet which sets forth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 and expected closing timeline for a sale of certain assets of the Company to be agreed by the Lenders; (vi) restraining from making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or restricted payments other than rent due under certain finance leases; and (vii) paying all fees and expenses incurred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Lenders after the occurrence with the Forbearance Effective Date including fees of third party professionals for work performed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forbearance, the Credit Agreement and transactions contemplated thereby.</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Forbearance Agreement, on April 8, 2026, the Company, the Lenders and the Agents entered into that certain Amendment No. 2 to Credit and Guaranty Agreement (“Amendment No. 2”). Amendment No. 2 amends the Credit Agreement to, among other things, (i) replace JPMorgan with FEAC as the Agents; and (ii) require each Credit Party to covenant and agree to (A) regularly provide certain liquidity reports and cash flow forecasts, (B) regularly provide certain aging reports and inventory reports, and (C) maintain a minimum liquidity of $1,000,000.</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Forbearance Agreement and Amendment No. 2 do not purport to be complete and are qualified in their entirety by reference to the full text of the Forbearance Agreement and Amendment No. 2, copies of which are filed as Exhibit 10.1 and Exhibit 10.2 to this Current Report on Form 8-K, respectively and incorporated herein by reference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ability to pay outstanding indebtedness under the Credit Agreement, compliance with the terms and conditions of the Forbearance Agreement and Amendment No. 2, the Company’s beliefs and intentions regarding the Forbearance Agreement and Amendment No. 2, the resolution of the matters thereunder, and the timing of any of the foregoing, each as described above. Such statements are based on current assumptions that involve risks and uncertainties that could cause actual outcomes and results to differ materially. These risks and uncertainties, many of which are beyond the Company’s control, include risks described in the section entitled “Risk Factors” and elsewhere in the Company’s Annual Report on Form 10-K filing made with the U.S. Securities and Exchange Commission on March 27, 2026, and the Company’s other Exchange Act filings. In addition, these forward-looking statements may be subject to risks and uncertainties related to the Company’s current level of indebtedness; the Company’s ability to maintain and preserve liquidity due to a variety of reasons, including industry conditions such as oversupply, fluctuations in the price of products and competitive industry pressures; and the Company’s ability to access additional sources of capital.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spacing w:after="0"/>
              <w:rPr>
                <w:sz w:val="18"/>
                <w:szCs w:val="18"/>
                <w:color w:val="auto"/>
              </w:rPr>
            </w:pPr>
          </w:p>
        </w:tc>
        <w:tc>
          <w:tcPr>
            <w:tcW w:w="868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4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Forbearance Agreement dated April 8, 2026, by and among Hydrofarm Holdings Group, Inc., the other credit parties from time to time party</w:t>
            </w:r>
          </w:p>
        </w:tc>
      </w:tr>
      <w:tr>
        <w:trPr>
          <w:trHeight w:val="196"/>
        </w:trPr>
        <w:tc>
          <w:tcPr>
            <w:tcW w:w="1020" w:type="dxa"/>
            <w:vAlign w:val="bottom"/>
          </w:tcPr>
          <w:p>
            <w:pPr>
              <w:spacing w:after="0"/>
              <w:rPr>
                <w:sz w:val="17"/>
                <w:szCs w:val="17"/>
                <w:color w:val="auto"/>
              </w:rPr>
            </w:pPr>
          </w:p>
        </w:tc>
        <w:tc>
          <w:tcPr>
            <w:tcW w:w="100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the lenders party thereto, and FEAC Agent, LLC, as administrative agent for the lenders and collateral agent for the secured parties.</w:t>
            </w:r>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Amendment No. 2 to Credit and Guaranty Agreement dated April 8, 2026, by and among Hydrofarm Holdings Group, Inc., the subsidiaries</w:t>
            </w:r>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of Hydrofarm Holdings Group, Inc. party thereto from time to time, the lenders party thereto and FEAC Agent, LLC, as administrative agent</w:t>
            </w:r>
          </w:p>
        </w:tc>
      </w:tr>
      <w:tr>
        <w:trPr>
          <w:trHeight w:val="196"/>
        </w:trPr>
        <w:tc>
          <w:tcPr>
            <w:tcW w:w="10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collateral agent.</w:t>
            </w:r>
          </w:p>
        </w:tc>
        <w:tc>
          <w:tcPr>
            <w:tcW w:w="8680" w:type="dxa"/>
            <w:vAlign w:val="bottom"/>
            <w:gridSpan w:val="3"/>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private and confidential information have been omitted pursuant to Item 601(b)(10)(iv) of Regulation S-K. The Registrant agrees to furnish supplementally a copy of any omitted private or confidential information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13, 2026</w:t>
      </w:r>
      <w:r>
        <w:rPr>
          <w:sz w:val="20"/>
          <w:szCs w:val="20"/>
          <w:color w:val="auto"/>
        </w:rPr>
        <w:tab/>
      </w: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PRIVATE AND CONFIDENTIAL INFORMATION, MARKED IN THIS EXHIBIT WITH [****], HAS BEEN EXCLUDED FROM THIS EXHIBIT IN RELIANCE ON REGULATION S-K, ITEM 601(B) (10)(IV)</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FORBEARANCE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FORBEARANCE AGREEMENT</w:t>
      </w:r>
      <w:r>
        <w:rPr>
          <w:rFonts w:ascii="Times New Roman" w:cs="Times New Roman" w:eastAsia="Times New Roman" w:hAnsi="Times New Roman"/>
          <w:sz w:val="18"/>
          <w:szCs w:val="18"/>
          <w:color w:val="auto"/>
        </w:rPr>
        <w:t>, dated as of April 8, 2026 (such date, the “</w:t>
      </w:r>
      <w:r>
        <w:rPr>
          <w:rFonts w:ascii="Times New Roman" w:cs="Times New Roman" w:eastAsia="Times New Roman" w:hAnsi="Times New Roman"/>
          <w:sz w:val="18"/>
          <w:szCs w:val="18"/>
          <w:b w:val="1"/>
          <w:bCs w:val="1"/>
          <w:i w:val="1"/>
          <w:iCs w:val="1"/>
          <w:color w:val="auto"/>
        </w:rPr>
        <w:t>Forbearance Effective Date</w:t>
      </w:r>
      <w:r>
        <w:rPr>
          <w:rFonts w:ascii="Times New Roman" w:cs="Times New Roman" w:eastAsia="Times New Roman" w:hAnsi="Times New Roman"/>
          <w:sz w:val="18"/>
          <w:szCs w:val="18"/>
          <w:color w:val="auto"/>
        </w:rPr>
        <w:t>”) (such agreement, the “</w:t>
      </w:r>
      <w:r>
        <w:rPr>
          <w:rFonts w:ascii="Times New Roman" w:cs="Times New Roman" w:eastAsia="Times New Roman" w:hAnsi="Times New Roman"/>
          <w:sz w:val="18"/>
          <w:szCs w:val="18"/>
          <w:b w:val="1"/>
          <w:bCs w:val="1"/>
          <w:i w:val="1"/>
          <w:iCs w:val="1"/>
          <w:color w:val="auto"/>
        </w:rPr>
        <w:t>Forbearance</w:t>
      </w:r>
      <w:r>
        <w:rPr>
          <w:rFonts w:ascii="Times New Roman" w:cs="Times New Roman" w:eastAsia="Times New Roman" w:hAnsi="Times New Roman"/>
          <w:sz w:val="18"/>
          <w:szCs w:val="18"/>
          <w:color w:val="auto"/>
        </w:rPr>
        <w:t xml:space="preserve">”), is by and among </w:t>
      </w:r>
      <w:r>
        <w:rPr>
          <w:rFonts w:ascii="Times New Roman" w:cs="Times New Roman" w:eastAsia="Times New Roman" w:hAnsi="Times New Roman"/>
          <w:sz w:val="18"/>
          <w:szCs w:val="18"/>
          <w:b w:val="1"/>
          <w:bCs w:val="1"/>
          <w:color w:val="auto"/>
        </w:rPr>
        <w:t>HYDROFARM HOLDINGS GROUP,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ml:space="preserve">”), the other Credit Parties party hereto, the Lenders party hereto, </w:t>
      </w:r>
      <w:r>
        <w:rPr>
          <w:rFonts w:ascii="Times New Roman" w:cs="Times New Roman" w:eastAsia="Times New Roman" w:hAnsi="Times New Roman"/>
          <w:sz w:val="18"/>
          <w:szCs w:val="18"/>
          <w:b w:val="1"/>
          <w:bCs w:val="1"/>
          <w:color w:val="auto"/>
        </w:rPr>
        <w:t>FEAC AGENT, LLC</w:t>
      </w:r>
      <w:r>
        <w:rPr>
          <w:rFonts w:ascii="Times New Roman" w:cs="Times New Roman" w:eastAsia="Times New Roman" w:hAnsi="Times New Roman"/>
          <w:sz w:val="18"/>
          <w:szCs w:val="18"/>
          <w:color w:val="auto"/>
        </w:rPr>
        <w:t>, a Delaware limited liability company (as successor in interest to JPMorgan Chase Bank, N.A.) (“</w:t>
      </w:r>
      <w:r>
        <w:rPr>
          <w:rFonts w:ascii="Times New Roman" w:cs="Times New Roman" w:eastAsia="Times New Roman" w:hAnsi="Times New Roman"/>
          <w:sz w:val="18"/>
          <w:szCs w:val="18"/>
          <w:b w:val="1"/>
          <w:bCs w:val="1"/>
          <w:i w:val="1"/>
          <w:iCs w:val="1"/>
          <w:color w:val="auto"/>
        </w:rPr>
        <w:t>FEAC</w:t>
      </w:r>
      <w:r>
        <w:rPr>
          <w:rFonts w:ascii="Times New Roman" w:cs="Times New Roman" w:eastAsia="Times New Roman" w:hAnsi="Times New Roman"/>
          <w:sz w:val="18"/>
          <w:szCs w:val="18"/>
          <w:color w:val="auto"/>
        </w:rPr>
        <w:t>”), as administrative agent for the Lenders (in such capacity, together with its successors and permitted assigns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FEAC, as collateral agent for the Secured Parties (in such capacity, together with its successors and permitted assigns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and together with the Administrative Agent, collectively, the “</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For purposes of this Forbearance, all terms used herein which are not otherwise defined herein, including but not limited to those terms used in this preamble and the recitals hereto, shall have the respective meanings assigned thereto in the Credit Agreement (as defined below).</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Agents, the Lenders, the Borrower and the other Credit Parties have entered into financing arrangements pursuant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(or Administrative Agent on behalf of the Lenders) have made Loans and provided other financial accommodations to Borrower as set forth in that certain Credit and Guaranty Agreement, dated as of October 25, 2021 (as amended by that certain Amendment No. 1 to Credit and Guaranty Agreement, dated as of June 27, 2023, and as the same may be further amended, restated, amended and restated,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by and among the Agents, the Lenders, the Borrower and the other Credit Parties and the other Credit Documents, including, without limitation, this Forbearance;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Event of Default identified as “Specified Default”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i w:val="1"/>
          <w:iCs w:val="1"/>
          <w:color w:val="auto"/>
        </w:rPr>
        <w:t>Specified Default</w:t>
      </w:r>
      <w:r>
        <w:rPr>
          <w:rFonts w:ascii="Times New Roman" w:cs="Times New Roman" w:eastAsia="Times New Roman" w:hAnsi="Times New Roman"/>
          <w:sz w:val="18"/>
          <w:szCs w:val="18"/>
          <w:color w:val="auto"/>
        </w:rPr>
        <w: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and is continuing, and the Borrower has requested that the Lenders and the Agents forbear from enforcing their rights and exercising their remedies under the Credit Agreement, the other Credit Documents, and applicable law with respect to the Specified Default; and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Agents and the Lenders are willing to forbear from enforcing their rights and exercising their remedies under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other Credit Documents, and applicable law with respect to the Specified Default in accordance with the terms hereof, subject to the satisfaction of conditions to effectiveness set forth in Section 4 hereof, and in reliance upon the representations and warranties made by each Credit Party and its Subsidiaries in Section 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agreements and covenants contained in the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herein and for other good and valuable consideration, the receipt and sufficiency of which are hereby acknowledged, the parties hereto hereby agree as follows:</w:t>
      </w:r>
    </w:p>
    <w:p>
      <w:pPr>
        <w:spacing w:after="0" w:line="17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u w:val="single" w:color="auto"/>
          <w:color w:val="auto"/>
        </w:rPr>
        <w:t>Acknowledgements by the Credit Parties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color w:val="auto"/>
        </w:rPr>
        <w:t>The Credit Parties hereby acknowledge and agree that (i) each of the above recitals is expressly incorporated herein and is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Credit Parties to be true and correct, (ii) as of the close of business on April 8, 2026, the outstanding principal balance of all Loans is in an amount equal to $114,393,701.98, provided that such amount does not include interest, fees, expenses and other amounts that are chargeable or otherwise reimbursable under the Credit Agreement and the other Credit Documents, (iii) as of April 8, 2026, the amount of accrued and unpaid interest on all Loans that is due and owing under the Credit Agreement is $5,214,178.34, (iv) interest has been accruing at the default rate of interest as set forth in Section 2.9 of the Credit Agreement (the “</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since February 6, 2026 and will continue to accrue at the Default Rate until all Events of Default (including the Specified Default) under the Credit Agreement have been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Administrative Agent and the Lenders do not waive and expressly reserve all rights to charge the Default Rate if Events of Default occurred prior to January 31, 2026, (v) the Specified Default constitutes an Event of Default for all purposes under the Credit Documents, (vi) the Specified Default has occurred and is continuing as of the date hereof, as set forth in the Recitals, (vii) no Defaults or Events of Default (other than the Specified Default and the Anticipated Event of Default (as defined below)) have occurred and are continuing or are anticipated to occur during the Forbearance Period (as defined below), and (viii) prior to the Forbearance Effective Date, as a result of the occurrence of the Specified Default, the Agents and the Lenders may (x) declare all of the Obligations under the Credit Agreement and the other Credit Documents immediately due and payable by the Borrower and the other Credit Parties and (y) exercise any and all of their respective rights and remedies under the Credit Agreement and the other Credit Documents or otherwise available under applicable law and in equity with respect thereto.</w:t>
      </w:r>
    </w:p>
    <w:p>
      <w:pPr>
        <w:spacing w:after="0" w:line="185"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color w:val="auto"/>
        </w:rPr>
        <w:t>The Credit Parties have advised the Agents that during the Forbearance Period, the audit report required pursuant to Section 5.1(c)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 Agreement may be delivered and may include a going concern qualification (the “</w:t>
      </w:r>
      <w:r>
        <w:rPr>
          <w:rFonts w:ascii="Times New Roman" w:cs="Times New Roman" w:eastAsia="Times New Roman" w:hAnsi="Times New Roman"/>
          <w:sz w:val="18"/>
          <w:szCs w:val="18"/>
          <w:b w:val="1"/>
          <w:bCs w:val="1"/>
          <w:i w:val="1"/>
          <w:iCs w:val="1"/>
          <w:color w:val="auto"/>
        </w:rPr>
        <w:t>Anticipated Event of Default</w:t>
      </w:r>
      <w:r>
        <w:rPr>
          <w:rFonts w:ascii="Times New Roman" w:cs="Times New Roman" w:eastAsia="Times New Roman" w:hAnsi="Times New Roman"/>
          <w:sz w:val="18"/>
          <w:szCs w:val="18"/>
          <w:color w:val="auto"/>
        </w:rPr>
        <w:t>”), which would constitute an Event of Default under Section 8.1(e) of the Credit Agreement. Notwithstanding anything to the contrary herein, the occurrence of the Anticipated Event of Default shall not constitute a Forbearance Termination Event (as defined below), and the Administrative Agent and the Lenders shall forbear from exercising any rights or remedies otherwise available to them as a result of the occurrence of the Anticipated Event of Default to the same extent and in the same manner as if such Anticipated Event of Default was a Specified Default.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97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color w:val="auto"/>
        </w:rPr>
        <w:t>Each Credit Party acknowledges and agrees that the forbearance provided herein shall not in any manner limit or restrict any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available to the Agents or the Lenders under the Credit Agreement, the other Credit Documents or under applicable law as a result of any Event of Default now or hereafter existing other than solely with respect to the Specified Default and the Anticipated Event of Default during the Forbearance Period. Notwithstanding the foregoing, each Credit Party shall comply with all limitations, restrictions or prohibitions that would otherwise be effective or applicable under the Credit Agreement or any of the other Credit Documents during the continuance of any Default and/or Event of Default.</w:t>
      </w:r>
    </w:p>
    <w:p>
      <w:pPr>
        <w:spacing w:after="0" w:line="179"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Forbearance Arrangements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During the Forbearance Period (as defined below), solely with respect to the Specified Default (and, after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the Anticipated Event of Default), neither the Administrative Agent nor any Lender shall, upon the terms and conditions expressly specified herein, take any action, commence any proceedings against any Credit Party or any other Person with respect to the enforcement of any of its or their rights or remedies under the Credit Documents or applicable law, other than as expressly described herein. As used herein, “</w:t>
      </w:r>
      <w:r>
        <w:rPr>
          <w:rFonts w:ascii="Times New Roman" w:cs="Times New Roman" w:eastAsia="Times New Roman" w:hAnsi="Times New Roman"/>
          <w:sz w:val="18"/>
          <w:szCs w:val="18"/>
          <w:b w:val="1"/>
          <w:bCs w:val="1"/>
          <w:i w:val="1"/>
          <w:iCs w:val="1"/>
          <w:color w:val="auto"/>
        </w:rPr>
        <w:t>Forbearance Period</w:t>
      </w:r>
      <w:r>
        <w:rPr>
          <w:rFonts w:ascii="Times New Roman" w:cs="Times New Roman" w:eastAsia="Times New Roman" w:hAnsi="Times New Roman"/>
          <w:sz w:val="18"/>
          <w:szCs w:val="18"/>
          <w:color w:val="auto"/>
        </w:rPr>
        <w:t>” shall mean the period commencing upon the Forbearance Effective Date and continuing until the earliest to occur of (the occurrence of clause (i) or (ii), a “</w:t>
      </w:r>
      <w:r>
        <w:rPr>
          <w:rFonts w:ascii="Times New Roman" w:cs="Times New Roman" w:eastAsia="Times New Roman" w:hAnsi="Times New Roman"/>
          <w:sz w:val="18"/>
          <w:szCs w:val="18"/>
          <w:b w:val="1"/>
          <w:bCs w:val="1"/>
          <w:i w:val="1"/>
          <w:iCs w:val="1"/>
          <w:color w:val="auto"/>
        </w:rPr>
        <w:t>Forbearance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 Event</w:t>
      </w:r>
      <w:r>
        <w:rPr>
          <w:rFonts w:ascii="Times New Roman" w:cs="Times New Roman" w:eastAsia="Times New Roman" w:hAnsi="Times New Roman"/>
          <w:sz w:val="18"/>
          <w:szCs w:val="18"/>
          <w:color w:val="auto"/>
        </w:rPr>
        <w:t>”): (i) April 30, 2026 (the “</w:t>
      </w:r>
      <w:r>
        <w:rPr>
          <w:rFonts w:ascii="Times New Roman" w:cs="Times New Roman" w:eastAsia="Times New Roman" w:hAnsi="Times New Roman"/>
          <w:sz w:val="18"/>
          <w:szCs w:val="18"/>
          <w:b w:val="1"/>
          <w:bCs w:val="1"/>
          <w:i w:val="1"/>
          <w:iCs w:val="1"/>
          <w:color w:val="auto"/>
        </w:rPr>
        <w:t>Forbearance Outside Date</w:t>
      </w:r>
      <w:r>
        <w:rPr>
          <w:rFonts w:ascii="Times New Roman" w:cs="Times New Roman" w:eastAsia="Times New Roman" w:hAnsi="Times New Roman"/>
          <w:sz w:val="18"/>
          <w:szCs w:val="18"/>
          <w:color w:val="auto"/>
        </w:rPr>
        <w:t>”) and (ii) the delivery of notice from the Administrative Agent to the Borrower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terminating the Forbearance Period, which notice may be delivered at any time upon or after (A) the occurrence of any Event of Default (other than the Specified Default and the Anticipated Event of Default) under the Credit Agreement or any other Credit Document and (B) the occurrence of a Forbearance Default (as defined below); provided that the Forbearance Outside Date may be extended from time to time in fifteen (15) day increments (or longer) upon written confirmation by the Administrative Agent (including by email). As used herein, “</w:t>
      </w:r>
      <w:r>
        <w:rPr>
          <w:rFonts w:ascii="Times New Roman" w:cs="Times New Roman" w:eastAsia="Times New Roman" w:hAnsi="Times New Roman"/>
          <w:sz w:val="18"/>
          <w:szCs w:val="18"/>
          <w:b w:val="1"/>
          <w:bCs w:val="1"/>
          <w:i w:val="1"/>
          <w:iCs w:val="1"/>
          <w:color w:val="auto"/>
        </w:rPr>
        <w:t>Forbearance Default</w:t>
      </w:r>
      <w:r>
        <w:rPr>
          <w:rFonts w:ascii="Times New Roman" w:cs="Times New Roman" w:eastAsia="Times New Roman" w:hAnsi="Times New Roman"/>
          <w:sz w:val="18"/>
          <w:szCs w:val="18"/>
          <w:color w:val="auto"/>
        </w:rPr>
        <w:t>” shall mean (A) the failure of the Borrower or any other Credit Party to comply with any of the Forbearance Period Requirements set forth in Section 7 hereof, (B) the failure of any representation or warranty made by the Borrower or any other Credit Party under or in connection with this Forbearance to be true and complete as of the date when made or any other breach of any of such representation or warranty, or (C) the repudiation and/or assertion of any defense by any Credit Party with respect to this Forbearance or any Credit Document or the pursuit of any claim by any Credit Party against the Agents or any Lender.</w:t>
      </w:r>
    </w:p>
    <w:p>
      <w:pPr>
        <w:spacing w:after="0" w:line="1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u w:val="single" w:color="auto"/>
          <w:color w:val="auto"/>
        </w:rPr>
        <w:t>Expiration of Forbearance Period</w:t>
      </w:r>
      <w:r>
        <w:rPr>
          <w:rFonts w:ascii="Times New Roman" w:cs="Times New Roman" w:eastAsia="Times New Roman" w:hAnsi="Times New Roman"/>
          <w:sz w:val="18"/>
          <w:szCs w:val="18"/>
          <w:color w:val="auto"/>
        </w:rPr>
        <w:t>. Upon the occurrence of one or more Forbearance Termination Events, the agreement of the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Lenders to forbear from enforcing their rights and exercising their remedies with respect to the Specified Default (and, after the occurrence thereof, the Anticipated Event of Default) contained herein shall automatically, and without any further action, notice or demand or any other occurrence terminate, without the requirement of any demand, presentment, protest or notice of any kind, all of which the Borrower and the other Credit Parties each waives. The Borrower and the Credit Parties agree that the Agents or any Lender may at any time thereafter proceed to enforce any or all of their rights and exercise any or all of their remedies available under the Credit Agreement, the other Credit Documents and applicable law with respect to the Specified Default (and, after the occurrence thereof, the Anticipated Event of Default). The Credit Parties acknowledge and agree that during the Forbearance Period, the Specified Default (and, after the occurrence thereof, the Anticipated Event of Default) shall be existing and continuing until waived, released or extinguished by the Administrative Agent and the Requisite Lenders in their sole discretion.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2.03. </w:t>
      </w:r>
      <w:r>
        <w:rPr>
          <w:rFonts w:ascii="Times New Roman" w:cs="Times New Roman" w:eastAsia="Times New Roman" w:hAnsi="Times New Roman"/>
          <w:sz w:val="18"/>
          <w:szCs w:val="18"/>
          <w:u w:val="single" w:color="auto"/>
          <w:color w:val="auto"/>
        </w:rPr>
        <w:t>Effect and Construction of Forbearance</w:t>
      </w:r>
      <w:r>
        <w:rPr>
          <w:rFonts w:ascii="Times New Roman" w:cs="Times New Roman" w:eastAsia="Times New Roman" w:hAnsi="Times New Roman"/>
          <w:sz w:val="18"/>
          <w:szCs w:val="18"/>
          <w:color w:val="auto"/>
        </w:rPr>
        <w:t>. Except as otherwise expressly provided herein, the Credit Agreement and the other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shall remain in full force and effect in accordance with their respective terms, and this Forbearance shall not be construed to: (i) impair the validity, perfection or priority of any Lien or security interest securing the Obligations; (ii) waive or impair any rights, powers or remedies of the Agents and the Lenders under the Credit Agreement, the other Credit Documents or applicable law upon the Forbearance Outside Date, with respect to the Specified Default, the Anticipated Event of Default, or otherwise; (iii) constitute an agreement by the Agents or the Lenders or require the Agents or the Lenders to extend the Forbearance Period or further forbear from exercising their rights and remedies under the Credit Agreement, the other Credit Documents or applicable law, extend the term of the Credit Agreement or the time for payment of any of the Obligations; (iv) require the Agents or the Lenders to make any Loans or to make any other extensions of credit to the Borrower, other than in the Agents’ and the Lenders’ sole and absolute discretion; or (v) constitute a waiver of any right of the Agents or the Lenders to insist on strict compliance by the Credit Parties with each and every term, condition and covenant of this Forbearance, the Credit Agreement and the other Credit Documents, except as expressly otherwise provided herein.</w:t>
      </w:r>
    </w:p>
    <w:p>
      <w:pPr>
        <w:spacing w:after="0" w:line="18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u w:val="single" w:color="auto"/>
          <w:color w:val="auto"/>
        </w:rPr>
        <w:t>No Course of Dealing or Performance</w:t>
      </w:r>
      <w:r>
        <w:rPr>
          <w:rFonts w:ascii="Times New Roman" w:cs="Times New Roman" w:eastAsia="Times New Roman" w:hAnsi="Times New Roman"/>
          <w:sz w:val="18"/>
          <w:szCs w:val="18"/>
          <w:color w:val="auto"/>
        </w:rPr>
        <w:t>. Each Credit Party acknowledges and agrees that the agreement of the Agents and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forbear from enforcing their rights and exercising their remedies with respect to the Specified Default (and, after the occurrence thereof, the Anticipated Event of Default) pursuant to and as reflected in this Forbearance, does not and shall not create (nor shall any Credit Party rely upon the existence of or claim or assert that there exists) any obligation of the Agents or the Lenders to consider or agree to any waiver or any other forbearance and, in the event that the Agents or the Lenders subsequently agree to consider any waiver or any other forbearance, neither the existence of any prior forbearance or waiver, nor this Forbearance, nor any other conduct of the Agents and the Lenders, or any of them, shall be of any force or effect on the consideration or decision with respect to any such requested waiver or forbearance, and neither the Agents nor any Lender shall have any obligation whatsoever to consider or agree to forbear or to waive any Default or Event of Default. In addition, none of (i) the execution and delivery of this Forbearance, (ii) the actions of the Agents and the Lenders in obtaining or analyzing any information from the Credit Parties, whether or not related to consideration of any waiver, modification, forbearance or alteration of the Credit Agreement, any Default or Event of Default thereunder, or otherwise, including, without limitation, any discussions or negotiations (heretofore or, if any, hereafter) between the Agents and the Lenders and any of the Credit Parties regarding any potential waiver, modification, forbearance or amendment related to the Credit Agreement, (iii) any failure of the Agents or the Lenders to enforce any of their rights or exercise any of their remedies under, pursuant or with respect to the Credit Agreement, the other Credit Documents or applicable law, nor (iv) any action, inaction, waiver, forbearance, amendment or other modification of or with respect to the Credit Agreement or the other Credit Documents, shall, except to the extent otherwise expressly provided herein or unless evidenced by a subsequent written agreement (and then only to the extent provided by the express provisions thereof):</w:t>
      </w:r>
    </w:p>
    <w:p>
      <w:pPr>
        <w:spacing w:after="0" w:line="199" w:lineRule="exact"/>
        <w:rPr>
          <w:sz w:val="20"/>
          <w:szCs w:val="20"/>
          <w:color w:val="auto"/>
        </w:rPr>
      </w:pPr>
    </w:p>
    <w:p>
      <w:pPr>
        <w:jc w:val="both"/>
        <w:ind w:left="660" w:firstLine="968"/>
        <w:spacing w:after="0" w:line="266" w:lineRule="auto"/>
        <w:tabs>
          <w:tab w:leader="none" w:pos="20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waiver by the Agents or any Lender of, or an agreement by the Agents or any Lender to forebear from enforcing any of their rights or exercising any of their remedies with respect to, any Default or Event of Default under the Credit Agreement or any other Credit Document;</w:t>
      </w:r>
    </w:p>
    <w:p>
      <w:pPr>
        <w:spacing w:after="0" w:line="175" w:lineRule="exact"/>
        <w:rPr>
          <w:rFonts w:ascii="Times New Roman" w:cs="Times New Roman" w:eastAsia="Times New Roman" w:hAnsi="Times New Roman"/>
          <w:sz w:val="18"/>
          <w:szCs w:val="18"/>
          <w:color w:val="auto"/>
        </w:rPr>
      </w:pPr>
    </w:p>
    <w:p>
      <w:pPr>
        <w:ind w:left="660" w:firstLine="968"/>
        <w:spacing w:after="0" w:line="282" w:lineRule="auto"/>
        <w:tabs>
          <w:tab w:leader="none" w:pos="20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waiver by or estoppel of the Agents or any Lender as to the satisfaction or lack of satisfaction of any covenant, term or condition set forth in the Credit Agreement or any other Credit Document;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left="660" w:firstLine="968"/>
        <w:spacing w:after="0" w:line="266" w:lineRule="auto"/>
        <w:tabs>
          <w:tab w:leader="none" w:pos="2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an amendment to or modification of, or an agreement on the part of the Agents or any Lender to enter into any amendment to or modification of, or an agreement to negotiate or continue to negotiate with respect to, the Credit Agreement or any other Credit Document or any amendment of any of the same.</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Each Credit Party, jointly and severally, hereby represents and warrants to the Lenders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as follows, which representations and warranties are continuing and shall survive the execution and delivery hereof:</w:t>
      </w:r>
    </w:p>
    <w:p>
      <w:pPr>
        <w:spacing w:after="0" w:line="203"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Immediately before and after giving effect to this Forbearance, no Default or Event of Default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Specified Default) shall have occurred or be continuing.</w:t>
      </w:r>
    </w:p>
    <w:p>
      <w:pPr>
        <w:spacing w:after="0" w:line="155"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u w:val="single" w:color="auto"/>
          <w:color w:val="auto"/>
        </w:rPr>
        <w:t>Representations and Warranties True and Correct</w:t>
      </w:r>
      <w:r>
        <w:rPr>
          <w:rFonts w:ascii="Times New Roman" w:cs="Times New Roman" w:eastAsia="Times New Roman" w:hAnsi="Times New Roman"/>
          <w:sz w:val="18"/>
          <w:szCs w:val="18"/>
          <w:color w:val="auto"/>
        </w:rPr>
        <w:t>. Immediately before and after giving effect to this Forbearance,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made by each Credit Party contained in the Credit Agreement or in the other Credit Documents shall be true and correct in all material respects, in each case, with the same effect as though such representations and warranties had been made on and as of the date hereof (except</w:t>
      </w:r>
    </w:p>
    <w:p>
      <w:pPr>
        <w:jc w:val="both"/>
        <w:ind w:firstLine="8"/>
        <w:spacing w:after="0" w:line="253"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representations and warranties expressly relate to an earlier date, in which case such representations and warranties shall have been true and correct in all material respects as of such earlier date and (ii) as set forth in Sections 4.09, 4.15 and 4.21 of the Credit Agreement); provided, that any representation or warranty that is qualified as to “materiality”, “Material Adverse Effect” or similar language shall be true and correct in all respects on such respective dates.</w:t>
      </w:r>
    </w:p>
    <w:p>
      <w:pPr>
        <w:spacing w:after="0" w:line="18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3.03. </w:t>
      </w: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Each Credit Party has the corporate or other organizational power and authority to execute and deliver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Forbearance and carry out the terms and provisions of this Forbearance and the Credit Agreement and has taken all necessary corporate or other organizational action to authorize the execution, delivery and performance of this Forbearance and the performance of the Credit Agreement. Each Credit Party has duly executed and delivered this Forbearance, and this Forbearance and the Credit Agreement constitute the valid and binding agreements of such Credit Party enforceable in accordance with their respective terms, subject to the effects of applicable bankruptcy, insolvency, fraudulent conveyance, moratorium, reorganization and other similar laws relating to or affecting creditors’ rights generally and general principles of equity (whether considered in a proceeding in equity or law).</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3.04.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any Credit Party of this Forbearance and the performance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compliance with the terms and provisions thereof, will not (i) contravene any applicable provision of any applicable law of any Governmental Authority, (ii) result in any breach of any of the terms, covenants, conditions or provisions of, or constitute a default under, or result in the creation or imposition of (or the obligation to create or impose) any Lien upon any of the property or assets of any Credit Party (other than Permitted Liens and Liens created under the Credit Documents) pursuant to (A) the terms of any material indenture, loan agreement, lease agreement, mortgage or deed of trust, or (B) any other material Contractual Obligation, in the case of either clause (ii)(A) or (ii)(B), to which any Credit Party is a party or by which it or any of its property or assets is bound, or (iii) violate any provision of the Organizational Documents of any Credit Party, except with respect to any conflict, breach or contravention or default (but not creation of Liens) referred to in clauses (i) and (ii), to the extent that such conflict, breach, contravention or default would not reasonably be expected to have 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w:t>
      </w:r>
      <w:r>
        <w:rPr>
          <w:rFonts w:ascii="Times New Roman" w:cs="Times New Roman" w:eastAsia="Times New Roman" w:hAnsi="Times New Roman"/>
          <w:sz w:val="18"/>
          <w:szCs w:val="18"/>
          <w:color w:val="auto"/>
        </w:rPr>
        <w:t>. This Forbearance shall become effective as of the Forbearance Effective Date upon the fulfillment and satisfaction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following conditions precedent, in form and substance reasonably satisfactory to the Administrative Agent:</w:t>
      </w:r>
    </w:p>
    <w:p>
      <w:pPr>
        <w:spacing w:after="0" w:line="155"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The Administrative Agent shall have received this Forbearance, duly executed by each of the parties hereto.</w:t>
      </w:r>
    </w:p>
    <w:p>
      <w:pPr>
        <w:spacing w:after="0" w:line="22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u w:val="single" w:color="auto"/>
          <w:color w:val="auto"/>
        </w:rPr>
        <w:t>Amendment to Credit Agreement</w:t>
      </w:r>
      <w:r>
        <w:rPr>
          <w:rFonts w:ascii="Times New Roman" w:cs="Times New Roman" w:eastAsia="Times New Roman" w:hAnsi="Times New Roman"/>
          <w:sz w:val="18"/>
          <w:szCs w:val="18"/>
          <w:color w:val="auto"/>
        </w:rPr>
        <w:t>. The Administrative Agent shall have received a fully executed amendment to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form and substance satisfactory to the Administrative Agent in its sole discretion.</w:t>
      </w:r>
    </w:p>
    <w:p>
      <w:pPr>
        <w:spacing w:after="0" w:line="155"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The Financial Advisor (as defined below) shall have been retained as financial advisor to the Borrower and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3"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4.04. </w:t>
      </w:r>
      <w:r>
        <w:rPr>
          <w:rFonts w:ascii="Times New Roman" w:cs="Times New Roman" w:eastAsia="Times New Roman" w:hAnsi="Times New Roman"/>
          <w:sz w:val="18"/>
          <w:szCs w:val="18"/>
          <w:u w:val="single" w:color="auto"/>
          <w:color w:val="auto"/>
        </w:rPr>
        <w:t>New Managers</w:t>
      </w:r>
      <w:r>
        <w:rPr>
          <w:rFonts w:ascii="Times New Roman" w:cs="Times New Roman" w:eastAsia="Times New Roman" w:hAnsi="Times New Roman"/>
          <w:sz w:val="18"/>
          <w:szCs w:val="18"/>
          <w:color w:val="auto"/>
        </w:rPr>
        <w:t>. Each of the New Managers (as defined below) shall have been appointed as the sole managers or directors,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of Hydrofarm Holdings LLC and each of its subsidiaries.</w:t>
      </w:r>
    </w:p>
    <w:p>
      <w:pPr>
        <w:spacing w:after="0" w:line="15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4.05. </w:t>
      </w:r>
      <w:r>
        <w:rPr>
          <w:rFonts w:ascii="Times New Roman" w:cs="Times New Roman" w:eastAsia="Times New Roman" w:hAnsi="Times New Roman"/>
          <w:sz w:val="18"/>
          <w:szCs w:val="18"/>
          <w:u w:val="single" w:color="auto"/>
          <w:color w:val="auto"/>
        </w:rPr>
        <w:t>Letter of Intent</w:t>
      </w:r>
      <w:r>
        <w:rPr>
          <w:rFonts w:ascii="Times New Roman" w:cs="Times New Roman" w:eastAsia="Times New Roman" w:hAnsi="Times New Roman"/>
          <w:sz w:val="18"/>
          <w:szCs w:val="18"/>
          <w:color w:val="auto"/>
        </w:rPr>
        <w:t>. Borrower shall have delivered to Administrative Agent a fully executed letter of intent (acceptable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and the Lenders in their sole discretion) with respect to the sale of [****].</w:t>
      </w:r>
    </w:p>
    <w:p>
      <w:pPr>
        <w:spacing w:after="0" w:line="15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4.06.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Borrower shall have paid, on or before the Forbearance Effective Date, all fees and expenses incurred up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Forbearance Effective Date by Administrative Agent and Lenders in connection herewith and the transactions contemplated hereby, including, without limitation, (i) the annual administration fee due to Agent pursuant to the fee letter dated as of March 12, 2026, by and between Borrower and Agent and (ii) costs and expenses of third party service providers incurred by the Administrative Agent and Lenders.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Retention of the Financial Advisor</w:t>
      </w:r>
      <w:r>
        <w:rPr>
          <w:rFonts w:ascii="Times New Roman" w:cs="Times New Roman" w:eastAsia="Times New Roman" w:hAnsi="Times New Roman"/>
          <w:sz w:val="18"/>
          <w:szCs w:val="18"/>
          <w:color w:val="auto"/>
        </w:rPr>
        <w:t>. On or prior to the Forbearance Effective Date, the Borrower shall retain [****] as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on behalf of itself and each of its subsidiaries (the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The Financial Advisor shall be responsible for (i) analyzing the Borrower’s books, records and financial projections, (ii) advising the Borrower on liquidity matters, including, without limitation, all options for maximizing liquidation value, (iii) providing strategic alternatives for Lender consideration, (iv) approving all financial reporting due under the Credit Agreement, and (v) performing any other financial analysis or review reasonably requested by the Administrative Agent or the Lenders. Borrower shall pay any retainer or other fees required by the Financial Advisor in connection with his engagement.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Appointment of the New Managers</w:t>
      </w:r>
      <w:r>
        <w:rPr>
          <w:rFonts w:ascii="Times New Roman" w:cs="Times New Roman" w:eastAsia="Times New Roman" w:hAnsi="Times New Roman"/>
          <w:sz w:val="18"/>
          <w:szCs w:val="18"/>
          <w:color w:val="auto"/>
        </w:rPr>
        <w:t>. On or prior to the Forbearance Effective Date, Hydrofarm Holdings LLC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shall appoint (i) [****] as an independent manager or director, as applicable, and (ii) Bill Toler as a manager or director, as applicable ([****] and Bill Toler in such capacities, each a “</w:t>
      </w:r>
      <w:r>
        <w:rPr>
          <w:rFonts w:ascii="Times New Roman" w:cs="Times New Roman" w:eastAsia="Times New Roman" w:hAnsi="Times New Roman"/>
          <w:sz w:val="18"/>
          <w:szCs w:val="18"/>
          <w:b w:val="1"/>
          <w:bCs w:val="1"/>
          <w:i w:val="1"/>
          <w:iCs w:val="1"/>
          <w:color w:val="auto"/>
        </w:rPr>
        <w:t>New 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New Managers</w:t>
      </w:r>
      <w:r>
        <w:rPr>
          <w:rFonts w:ascii="Times New Roman" w:cs="Times New Roman" w:eastAsia="Times New Roman" w:hAnsi="Times New Roman"/>
          <w:sz w:val="18"/>
          <w:szCs w:val="18"/>
          <w:color w:val="auto"/>
        </w:rPr>
        <w:t>”), in each case, to serve as the sole members of a restructuring committee with authority over all matters related to the Loans, strategic alternatives, and liquidity matters, subject to fiduciary duties under applicable law, provided that neither New Manager shall be empowered to take any unilateral action with respect to the matters set forth above or otherwise, and any act or decision of such New Managers shall require the unanimous agreement and consent of each such New Manager. Either of the New Managers may be removed and replaced with new managers or directors, as applicable, acceptable to (a) in the case of [****] and his successors, the Lenders in their sole discretion and (b) in the case of Bill Toler and his successors, a majority of the board of directors of Borrower in their sole discretion.</w:t>
      </w:r>
    </w:p>
    <w:p>
      <w:pPr>
        <w:spacing w:after="0" w:line="185"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Forbearance Period Requirements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7.01. </w:t>
      </w:r>
      <w:r>
        <w:rPr>
          <w:rFonts w:ascii="Times New Roman" w:cs="Times New Roman" w:eastAsia="Times New Roman" w:hAnsi="Times New Roman"/>
          <w:sz w:val="18"/>
          <w:szCs w:val="18"/>
          <w:color w:val="auto"/>
        </w:rPr>
        <w:t>Within (i) twenty (20) days of the Forbearance Effective Date, Borrower shall present to the Lenders at least two (2) bids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liquidators, inclusive of fees, economics, expenses, timelines, and expected value, and (ii) five (5) Business Days of the Lenders’ receipt of the liquidation bids, the Borrower shall deliver to the Lenders a cash flow projection approved by the Financial Advisor which estimates the terminal liquidation value, inclusive of operating expenses necessary to effectuate any liquidation.</w:t>
      </w:r>
    </w:p>
    <w:p>
      <w:pPr>
        <w:spacing w:after="0" w:line="176"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7.02. </w:t>
      </w:r>
      <w:r>
        <w:rPr>
          <w:rFonts w:ascii="Times New Roman" w:cs="Times New Roman" w:eastAsia="Times New Roman" w:hAnsi="Times New Roman"/>
          <w:sz w:val="18"/>
          <w:szCs w:val="18"/>
          <w:color w:val="auto"/>
        </w:rPr>
        <w:t>On Thursday at 4:00 p.m. Eastern Time (or such other times mutually agreed to by the Borrower and the Lenders) of each week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Forbearance Period, Borrower shall provide Administrative Agent evidence of Liquidity (as defined below) of at least $1,000,000. As used herein, “</w:t>
      </w: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shall mean, as of any date of determination, the average daily cash balance of Borrower over the five (5) Business Days preceding such date.</w:t>
      </w:r>
    </w:p>
    <w:p>
      <w:pPr>
        <w:spacing w:after="0" w:line="171"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7.03. </w:t>
      </w:r>
      <w:r>
        <w:rPr>
          <w:rFonts w:ascii="Times New Roman" w:cs="Times New Roman" w:eastAsia="Times New Roman" w:hAnsi="Times New Roman"/>
          <w:sz w:val="18"/>
          <w:szCs w:val="18"/>
          <w:color w:val="auto"/>
        </w:rPr>
        <w:t>Within five (5) days of the Forbearance Effective Date, the Borrower shall present a budget for the Borrower to the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Financial Advisor shall, in consultation with the Lenders and within five (5) days of receipt thereof, approve in its reasonable judgment (such budget, the “</w:t>
      </w:r>
      <w:r>
        <w:rPr>
          <w:rFonts w:ascii="Times New Roman" w:cs="Times New Roman" w:eastAsia="Times New Roman" w:hAnsi="Times New Roman"/>
          <w:sz w:val="18"/>
          <w:szCs w:val="18"/>
          <w:b w:val="1"/>
          <w:bCs w:val="1"/>
          <w:i w:val="1"/>
          <w:iCs w:val="1"/>
          <w:color w:val="auto"/>
        </w:rPr>
        <w:t>Initial Approved Budget</w:t>
      </w:r>
      <w:r>
        <w:rPr>
          <w:rFonts w:ascii="Times New Roman" w:cs="Times New Roman" w:eastAsia="Times New Roman" w:hAnsi="Times New Roman"/>
          <w:sz w:val="18"/>
          <w:szCs w:val="18"/>
          <w:color w:val="auto"/>
        </w:rPr>
        <w:t>”). Commencing in the week following the Initial Approved Budget, prior to each Weekly Call, the Borrower shall provide the Lenders with a proposed budget for the Borrower and variance report to the prior Approved Budget (as hereinafter defined) that has been presented to the Financial Advisor (each such proposed budget, a “</w:t>
      </w:r>
      <w:r>
        <w:rPr>
          <w:rFonts w:ascii="Times New Roman" w:cs="Times New Roman" w:eastAsia="Times New Roman" w:hAnsi="Times New Roman"/>
          <w:sz w:val="18"/>
          <w:szCs w:val="18"/>
          <w:b w:val="1"/>
          <w:bCs w:val="1"/>
          <w:i w:val="1"/>
          <w:iCs w:val="1"/>
          <w:color w:val="auto"/>
        </w:rPr>
        <w:t>Proposed Budget</w:t>
      </w:r>
      <w:r>
        <w:rPr>
          <w:rFonts w:ascii="Times New Roman" w:cs="Times New Roman" w:eastAsia="Times New Roman" w:hAnsi="Times New Roman"/>
          <w:sz w:val="18"/>
          <w:szCs w:val="18"/>
          <w:color w:val="auto"/>
        </w:rPr>
        <w:t>”). Within two (2) Business Days of receipt of a Proposed Budget and variance report, the Lenders shall approve such Proposed Budget in their reasonable judgement (in which case it (or in the event the Lenders do not approve any Proposed Budget, the Initial Approved Budget) shall be the “</w:t>
      </w:r>
      <w:r>
        <w:rPr>
          <w:rFonts w:ascii="Times New Roman" w:cs="Times New Roman" w:eastAsia="Times New Roman" w:hAnsi="Times New Roman"/>
          <w:sz w:val="18"/>
          <w:szCs w:val="18"/>
          <w:b w:val="1"/>
          <w:bCs w:val="1"/>
          <w:i w:val="1"/>
          <w:iCs w:val="1"/>
          <w:color w:val="auto"/>
        </w:rPr>
        <w:t>Approved Budget</w:t>
      </w:r>
      <w:r>
        <w:rPr>
          <w:rFonts w:ascii="Times New Roman" w:cs="Times New Roman" w:eastAsia="Times New Roman" w:hAnsi="Times New Roman"/>
          <w:sz w:val="18"/>
          <w:szCs w:val="18"/>
          <w:color w:val="auto"/>
        </w:rPr>
        <w:t>”) or reject the Proposed Budget (in which case the previously Approved Budget shall remain in effect). Notwithstanding anything to the contrary herein, during the Forbearance Period, the Borrower shall be deemed to be in compliance with the Approved Budget so long as the aggregate cash disbursements for the applicable week do not exceed 110% of the total projected cash disbursements for such week as set forth in the Approved Budget. For the avoidance of doubt, any budget prepared pursuant to this Section 7.03 shall be prepared assuming that the Borrower is not liquidating, unless the Borrower and the Lenders agree in writing that any such budget be a liquidation budget.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7.04. </w:t>
      </w:r>
      <w:r>
        <w:rPr>
          <w:rFonts w:ascii="Times New Roman" w:cs="Times New Roman" w:eastAsia="Times New Roman" w:hAnsi="Times New Roman"/>
          <w:sz w:val="18"/>
          <w:szCs w:val="18"/>
          <w:color w:val="auto"/>
        </w:rPr>
        <w:t>Notwithstanding anything to the contrary in the Credit Agreement or any other Credit Document, Borrower shall not (i)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or Restricted Payments, other than Rent due and payable under that certain Mater Industrial Lease by and between J&amp;D Property, LLC and Gotham Properties, LLC, dated as of January 10, 2023 (as such term is defined therein) or (ii) sell any assets or engage in any other transactions outside of the ordinary course of business, in each case, without the prior approval of the Lenders in their sole discretion.</w:t>
      </w:r>
    </w:p>
    <w:p>
      <w:pPr>
        <w:spacing w:after="0" w:line="176"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7.05. </w:t>
      </w:r>
      <w:r>
        <w:rPr>
          <w:rFonts w:ascii="Times New Roman" w:cs="Times New Roman" w:eastAsia="Times New Roman" w:hAnsi="Times New Roman"/>
          <w:sz w:val="18"/>
          <w:szCs w:val="18"/>
          <w:color w:val="auto"/>
        </w:rPr>
        <w:t>Within twenty (20) days of the Forbearance Effective Date (or such later date from time to time thereafter agreed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in writing (including, without limitation, by email)), Borrower shall deliver to the Lenders a term sheet which sets forth the total consideration and expected closing timeline for a sale of certain assets of the Borrower to be agreed by the Lenders, and the terms set forth in such term sheet shall be acceptable to the Lenders in their sole discretion.</w:t>
      </w:r>
    </w:p>
    <w:p>
      <w:pPr>
        <w:spacing w:after="0" w:line="176"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7.06. </w:t>
      </w:r>
      <w:r>
        <w:rPr>
          <w:rFonts w:ascii="Times New Roman" w:cs="Times New Roman" w:eastAsia="Times New Roman" w:hAnsi="Times New Roman"/>
          <w:sz w:val="18"/>
          <w:szCs w:val="18"/>
          <w:color w:val="auto"/>
        </w:rPr>
        <w:t>Management of the Borrower and each other Credit Party shall be reasonably available for weekly calls with the Lenders,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place at such time reasonably agreed to by the Borrower and the Lenders, to discuss financial affairs, business operations, and any other topics that the Lenders may reasonably deem appropriate (each, a “</w:t>
      </w:r>
      <w:r>
        <w:rPr>
          <w:rFonts w:ascii="Times New Roman" w:cs="Times New Roman" w:eastAsia="Times New Roman" w:hAnsi="Times New Roman"/>
          <w:sz w:val="18"/>
          <w:szCs w:val="18"/>
          <w:b w:val="1"/>
          <w:bCs w:val="1"/>
          <w:i w:val="1"/>
          <w:iCs w:val="1"/>
          <w:color w:val="auto"/>
        </w:rPr>
        <w:t>Weekly Call</w:t>
      </w:r>
      <w:r>
        <w:rPr>
          <w:rFonts w:ascii="Times New Roman" w:cs="Times New Roman" w:eastAsia="Times New Roman" w:hAnsi="Times New Roman"/>
          <w:sz w:val="18"/>
          <w:szCs w:val="18"/>
          <w:color w:val="auto"/>
        </w:rPr>
        <w:t>”). The Financial Advisor shall be available for regular calls with the Lenders, including a scheduled call at 4:00 p.m. Eastern Time on each Thursday during the Forbearance Period, and at such other times as Lenders may reasonably request. Such calls between the Financial Advisor and the Lenders shall not include any management of the Borrower or any other Credit Party, and shall not constitute Weekly Calls.</w:t>
      </w:r>
    </w:p>
    <w:p>
      <w:pPr>
        <w:spacing w:after="0" w:line="182"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7.07. </w:t>
      </w:r>
      <w:r>
        <w:rPr>
          <w:rFonts w:ascii="Times New Roman" w:cs="Times New Roman" w:eastAsia="Times New Roman" w:hAnsi="Times New Roman"/>
          <w:sz w:val="18"/>
          <w:szCs w:val="18"/>
          <w:color w:val="auto"/>
        </w:rPr>
        <w:t>Borrower shall pay, within five (5) days of Borrower’s receipt of invoices relating thereto, all fees and expenses incurred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and Lenders after the occurrence of the Forbearance Effective Date, including all fees of third party professionals for work performed in connection with this Forbearance, the Credit Agreement, and the transactions contemplated thereby.</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Acknowledgement by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Credit Party signatory hereto which is a Guarantor hereby acknowledges, and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Forbearance and confirms and agrees that, with respect to such Guarantor, each of the Guaranty and the Credit Agreement is and shall continue to be, in full force and effect and is hereby ratified and confirmed in all respects except that, upon the effectiveness of, and on and after the date of this Forbearance, each reference in the Credit Agreement to the words “hereunder”, “hereof” or words of like import referring to the Credit Agreement, shall mean and be a reference to the Credit Agreement as amended or modified by this Forbearance. Although the Agents and the Lenders have informed Guarantors of the matters set forth above, and Guarantors have acknowledged the same, each Guarantor understands and agrees that neither the Agents nor any Lender has any duty under the Credit Agreement or any other agreement with any Guarantor to so notify any Guarantor or to seek such an acknowledgement, and nothing contained herein is intended to or shall create such a duty as to any transaction hereafter.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9.01.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Notwithstanding anything to the contrary herein or in any other Credit Document, the Lenders may,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a financial advisor, the cost and expense of which shall be borne by the Borrower.</w:t>
      </w:r>
    </w:p>
    <w:p>
      <w:pPr>
        <w:spacing w:after="0" w:line="15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9.02. </w:t>
      </w:r>
      <w:r>
        <w:rPr>
          <w:rFonts w:ascii="Times New Roman" w:cs="Times New Roman" w:eastAsia="Times New Roman" w:hAnsi="Times New Roman"/>
          <w:sz w:val="18"/>
          <w:szCs w:val="18"/>
          <w:u w:val="single" w:color="auto"/>
          <w:color w:val="auto"/>
        </w:rPr>
        <w:t>No Waiver or Modification</w:t>
      </w:r>
      <w:r>
        <w:rPr>
          <w:rFonts w:ascii="Times New Roman" w:cs="Times New Roman" w:eastAsia="Times New Roman" w:hAnsi="Times New Roman"/>
          <w:sz w:val="18"/>
          <w:szCs w:val="18"/>
          <w:color w:val="auto"/>
        </w:rPr>
        <w:t>. Except as expressly stated herein, nothing contained herein shall be deemed to constitute a waiver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term or condition contained in the Credit Agreement or any other Credit Document or constitute a course of conduct or dealing among the parties. The Agents and Lenders reserve all rights, privileges and remedies under the Credit Documents. The Credit Agreement and other Credit Documents remain unmodified and in full force and effect in accordance with their respective terms and are hereby ratified and confirmed in all respects.</w:t>
      </w:r>
    </w:p>
    <w:p>
      <w:pPr>
        <w:spacing w:after="0" w:line="176"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9.03.</w:t>
      </w:r>
      <w:r>
        <w:rPr>
          <w:sz w:val="20"/>
          <w:szCs w:val="20"/>
          <w:color w:val="auto"/>
        </w:rPr>
        <w:tab/>
      </w:r>
      <w:r>
        <w:rPr>
          <w:rFonts w:ascii="Times New Roman" w:cs="Times New Roman" w:eastAsia="Times New Roman" w:hAnsi="Times New Roman"/>
          <w:sz w:val="17"/>
          <w:szCs w:val="17"/>
          <w:u w:val="single" w:color="auto"/>
          <w:color w:val="auto"/>
        </w:rPr>
        <w:t>Credit Document</w:t>
      </w:r>
      <w:r>
        <w:rPr>
          <w:rFonts w:ascii="Times New Roman" w:cs="Times New Roman" w:eastAsia="Times New Roman" w:hAnsi="Times New Roman"/>
          <w:sz w:val="17"/>
          <w:szCs w:val="17"/>
          <w:color w:val="auto"/>
        </w:rPr>
        <w:t>. This Forbearance shall constitute a Credit Document under and as defined in the Credit Agreement.</w:t>
      </w:r>
    </w:p>
    <w:p>
      <w:pPr>
        <w:spacing w:after="0" w:line="22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FORBEARANCE AND THE RIGHTS AND OBLIGATIONS OF THE PARTIES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w:t>
      </w:r>
    </w:p>
    <w:p>
      <w:pPr>
        <w:spacing w:after="0" w:line="15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Forbearance may be executed by one or more of the parties hereto in any number of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so executed and delivered shall be deemed an original, but all such counterparts together shall constitute but one and the same instrument. Delivery of an executed counterpart of a signature page of this Forbearance by facsimile or in electronic format (i.e., “pdf” or “tif”) by electronic transmission shall be effective as delivery of a manually executed counterpart of this Forbearance.</w:t>
      </w:r>
    </w:p>
    <w:p>
      <w:pPr>
        <w:spacing w:after="0" w:line="176"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9.06.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Forbearance are included herein for convenience of reference only and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Forbearance.</w:t>
      </w:r>
    </w:p>
    <w:p>
      <w:pPr>
        <w:spacing w:after="0" w:line="15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9.07.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Forbearance shall be binding upon and inure to the benefit of Borrower, the other Credit Parties,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the Lenders and their respective successors and assigns in accordance with the terms of the Credit Agreement.</w:t>
      </w:r>
    </w:p>
    <w:p>
      <w:pPr>
        <w:spacing w:after="0" w:line="15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9.08.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Forbearance incorporates all negotiations of the parties hereto with respect to the subject matter hereof and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expression and agreement of the parties hereto with respect to the subject matter hereof. This Forbearance represents the agreement of the parties hereto with respect to the subject matter hereof, and there are no promises, undertakings, representations or warranties by any party hereto relative to the subject matter hereof not expressly set forth or referred to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97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9.09.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Credit Party as debtor, grantor, pledgor, guarantor, assignor, or in any other similar capacity in which such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grants liens or security interests in its property or otherwise acts as accommodation party or guarantor, as the case may be, hereby (a) acknowledges and affirms, ratifies and reaffirms all of its payment and performance obligations, contingent or otherwise, under each Credit Document to which it is a party (after giving effect hereto), (b) to the extent such Credit Party granted liens on or security interests in any of its property pursuant to any such Credit Document as security for or otherwise guaranteed Borrower’s Obligations under or with respect to the Credit Documents, ratifies and reaffirms such guarantee and grant of security interests and liens and confirms and agrees that such security interests and liens hereafter secure all of the Obligations as amended hereby and (c) to the extent such Credit Party is a Guarantor, agrees to guarantee the Obligations in accordance with, and agrees that such Credit Party is bound by, the terms of the Guaranty.</w:t>
      </w:r>
    </w:p>
    <w:p>
      <w:pPr>
        <w:spacing w:after="0" w:line="1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9.10. </w:t>
      </w:r>
      <w:r>
        <w:rPr>
          <w:rFonts w:ascii="Times New Roman" w:cs="Times New Roman" w:eastAsia="Times New Roman" w:hAnsi="Times New Roman"/>
          <w:sz w:val="18"/>
          <w:szCs w:val="18"/>
          <w:u w:val="single" w:color="auto"/>
          <w:color w:val="auto"/>
        </w:rPr>
        <w:t>No Other Modifications</w:t>
      </w:r>
      <w:r>
        <w:rPr>
          <w:rFonts w:ascii="Times New Roman" w:cs="Times New Roman" w:eastAsia="Times New Roman" w:hAnsi="Times New Roman"/>
          <w:sz w:val="18"/>
          <w:szCs w:val="18"/>
          <w:color w:val="auto"/>
        </w:rPr>
        <w:t>. The entry by each of the Agents and the Lenders into this Forbearance or any of the documents referenced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any negotiations with any party with respect to any Credit Document, the conduct of any analysis or investigation of the operations of each of the Credit Parties, any Collateral or any Credit Document, any acceptance of any payment from any Credit Party or any other party of any payments made prior to or after the date hereof, or any other action or failure to act on the part of any of the Agents or the Lenders shall not, except as expressly provided herein, (a) constitute a modification of any Credit Document, (b) constitute a waiver of any Default or Event of Default under the Credit Agreement, including, without limitation, the Specified Default and the Anticipated Event of Default, or a waiver of any term or provision of any Credit Document, (c) excuse any Credit Party from any of its Obligations under any of the Credit Documents, or (d) toll the running of any time periods applicable to any rights and remedies of the Agents and the Lenders, including, without limitation, any grace periods with respect to any Defaults under the Credit Documents or otherwise. Each Credit Party agrees that it will not assert laches, waiver, or any other defense to the enforcement of any of the Credit Documents based upon any agreement or action by the Agents or the Lenders, referenced in, set forth in or contemplated by this Forbearance.</w:t>
      </w:r>
    </w:p>
    <w:p>
      <w:pPr>
        <w:spacing w:after="0" w:line="185"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9.11.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Each party agrees that this Forbearance and any other documents to be delivered in connection herewith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signed, and that any electronic signatures appearing on this Forbearance or such other documents are the same as handwritten signatures for the purposes of validity, enforceability, and admissibility.</w:t>
      </w:r>
    </w:p>
    <w:p>
      <w:pPr>
        <w:spacing w:after="0" w:line="171"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9.12.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Lenders’ and the Agents’ agreements contained in this Forbearance, each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irrevocably releases and forever discharges the Lenders, the Agents and their respective affiliates, subsidiaries, successors and assigns, and the respective directors, officers, employees, agents, consultants and attorneys of each of the foregoing (each, a “</w:t>
      </w:r>
      <w:r>
        <w:rPr>
          <w:rFonts w:ascii="Times New Roman" w:cs="Times New Roman" w:eastAsia="Times New Roman" w:hAnsi="Times New Roman"/>
          <w:sz w:val="18"/>
          <w:szCs w:val="18"/>
          <w:b w:val="1"/>
          <w:bCs w:val="1"/>
          <w:i w:val="1"/>
          <w:iCs w:val="1"/>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Credit Party ever had, now has or may in the future have against any Agent, any Lender or any other Released Person which relates, directly or indirectly, to any acts or omissions on or prior to the effectiveness hereof of any Agent, any Lender or any other Released Person relating to the Credit Agreement or any other Credit Document, in each case, other than a claim for gross negligence or willful misconduct on the part of any such Released Person (each, a “</w:t>
      </w:r>
      <w:r>
        <w:rPr>
          <w:rFonts w:ascii="Times New Roman" w:cs="Times New Roman" w:eastAsia="Times New Roman" w:hAnsi="Times New Roman"/>
          <w:sz w:val="18"/>
          <w:szCs w:val="18"/>
          <w:b w:val="1"/>
          <w:bCs w:val="1"/>
          <w:i w:val="1"/>
          <w:iCs w:val="1"/>
          <w:color w:val="auto"/>
        </w:rPr>
        <w:t>Released Claim</w:t>
      </w:r>
      <w:r>
        <w:rPr>
          <w:rFonts w:ascii="Times New Roman" w:cs="Times New Roman" w:eastAsia="Times New Roman" w:hAnsi="Times New Roman"/>
          <w:sz w:val="18"/>
          <w:szCs w:val="18"/>
          <w:color w:val="auto"/>
        </w:rPr>
        <w:t>”). Borrower and the other Credit Parties, each on behalf of itself and its successors, assigns, and other legal representatives, hereby absolutely, unconditionally and irrevocably, covenants and agrees with and in favor of each Released Person that it will not sue (at law, in equity, in any regulatory proceeding or otherwise) any Released Person on the basis of any Released Claim released, remised and discharged by Borrower or any other Credit Party pursuant to this Section 9.12.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the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Forbearance Agreement to be executed by their respective officers thereunto duly authorized,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34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r>
      <w:tr>
        <w:trPr>
          <w:trHeight w:val="234"/>
        </w:trPr>
        <w:tc>
          <w:tcPr>
            <w:tcW w:w="2560" w:type="dxa"/>
            <w:vAlign w:val="bottom"/>
          </w:tcPr>
          <w:p>
            <w:pPr>
              <w:spacing w:after="0"/>
              <w:rPr>
                <w:sz w:val="20"/>
                <w:szCs w:val="20"/>
                <w:color w:val="auto"/>
              </w:rPr>
            </w:pPr>
          </w:p>
        </w:tc>
        <w:tc>
          <w:tcPr>
            <w:tcW w:w="73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a Delaware corporation</w:t>
            </w:r>
          </w:p>
        </w:tc>
        <w:tc>
          <w:tcPr>
            <w:tcW w:w="1340" w:type="dxa"/>
            <w:vAlign w:val="bottom"/>
          </w:tcPr>
          <w:p>
            <w:pPr>
              <w:spacing w:after="0"/>
              <w:rPr>
                <w:sz w:val="20"/>
                <w:szCs w:val="20"/>
                <w:color w:val="auto"/>
              </w:rPr>
            </w:pPr>
          </w:p>
        </w:tc>
      </w:tr>
      <w:tr>
        <w:trPr>
          <w:trHeight w:val="648"/>
        </w:trPr>
        <w:tc>
          <w:tcPr>
            <w:tcW w:w="2560" w:type="dxa"/>
            <w:vAlign w:val="bottom"/>
          </w:tcPr>
          <w:p>
            <w:pPr>
              <w:spacing w:after="0"/>
              <w:rPr>
                <w:sz w:val="24"/>
                <w:szCs w:val="24"/>
                <w:color w:val="auto"/>
              </w:rPr>
            </w:pPr>
          </w:p>
        </w:tc>
        <w:tc>
          <w:tcPr>
            <w:tcW w:w="73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48"/>
        </w:trPr>
        <w:tc>
          <w:tcPr>
            <w:tcW w:w="2560" w:type="dxa"/>
            <w:vAlign w:val="bottom"/>
          </w:tcPr>
          <w:p>
            <w:pPr>
              <w:spacing w:after="0"/>
              <w:rPr>
                <w:sz w:val="24"/>
                <w:szCs w:val="24"/>
                <w:color w:val="auto"/>
              </w:rPr>
            </w:pPr>
          </w:p>
        </w:tc>
        <w:tc>
          <w:tcPr>
            <w:tcW w:w="73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[Signature Page to Forbearance Agreement]</w:t>
            </w:r>
          </w:p>
        </w:tc>
        <w:tc>
          <w:tcPr>
            <w:tcW w:w="1340" w:type="dxa"/>
            <w:vAlign w:val="bottom"/>
          </w:tcPr>
          <w:p>
            <w:pPr>
              <w:spacing w:after="0"/>
              <w:rPr>
                <w:sz w:val="24"/>
                <w:szCs w:val="24"/>
                <w:color w:val="auto"/>
              </w:rPr>
            </w:pPr>
          </w:p>
        </w:tc>
      </w:tr>
      <w:tr>
        <w:trPr>
          <w:trHeight w:val="574"/>
        </w:trPr>
        <w:tc>
          <w:tcPr>
            <w:tcW w:w="2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r>
      <w:tr>
        <w:trPr>
          <w:trHeight w:val="234"/>
        </w:trPr>
        <w:tc>
          <w:tcPr>
            <w:tcW w:w="2660" w:type="dxa"/>
            <w:vAlign w:val="bottom"/>
          </w:tcPr>
          <w:p>
            <w:pPr>
              <w:spacing w:after="0"/>
              <w:rPr>
                <w:sz w:val="20"/>
                <w:szCs w:val="20"/>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Delaware Corporation</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30"/>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HYDROFARM, LLC</w:t>
            </w:r>
            <w:r>
              <w:rPr>
                <w:rFonts w:ascii="Times New Roman" w:cs="Times New Roman" w:eastAsia="Times New Roman" w:hAnsi="Times New Roman"/>
                <w:sz w:val="18"/>
                <w:szCs w:val="18"/>
                <w:color w:val="auto"/>
              </w:rPr>
              <w:t>, a California</w:t>
            </w:r>
          </w:p>
        </w:tc>
        <w:tc>
          <w:tcPr>
            <w:tcW w:w="134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30"/>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FIELD 16, LLC</w:t>
            </w:r>
            <w:r>
              <w:rPr>
                <w:rFonts w:ascii="Times New Roman" w:cs="Times New Roman" w:eastAsia="Times New Roman" w:hAnsi="Times New Roman"/>
                <w:sz w:val="18"/>
                <w:szCs w:val="18"/>
                <w:color w:val="auto"/>
              </w:rPr>
              <w:t>,</w:t>
            </w:r>
          </w:p>
        </w:tc>
        <w:tc>
          <w:tcPr>
            <w:tcW w:w="134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30"/>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HYDROFARM INVESTMENT CORP.</w:t>
            </w:r>
            <w:r>
              <w:rPr>
                <w:rFonts w:ascii="Times New Roman" w:cs="Times New Roman" w:eastAsia="Times New Roman" w:hAnsi="Times New Roman"/>
                <w:sz w:val="18"/>
                <w:szCs w:val="18"/>
                <w:color w:val="auto"/>
              </w:rPr>
              <w:t>,</w:t>
            </w:r>
          </w:p>
        </w:tc>
        <w:tc>
          <w:tcPr>
            <w:tcW w:w="134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Delaware corporation</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30"/>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HYDROFARM HOLDINGS LLC</w:t>
            </w:r>
            <w:r>
              <w:rPr>
                <w:rFonts w:ascii="Times New Roman" w:cs="Times New Roman" w:eastAsia="Times New Roman" w:hAnsi="Times New Roman"/>
                <w:sz w:val="18"/>
                <w:szCs w:val="18"/>
                <w:color w:val="auto"/>
              </w:rPr>
              <w:t>,</w:t>
            </w:r>
          </w:p>
        </w:tc>
        <w:tc>
          <w:tcPr>
            <w:tcW w:w="134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By: /s/ William Toler</w:t>
            </w:r>
          </w:p>
        </w:tc>
        <w:tc>
          <w:tcPr>
            <w:tcW w:w="1340" w:type="dxa"/>
            <w:vAlign w:val="bottom"/>
          </w:tcPr>
          <w:p>
            <w:pPr>
              <w:spacing w:after="0"/>
              <w:rPr>
                <w:sz w:val="24"/>
                <w:szCs w:val="24"/>
                <w:color w:val="auto"/>
              </w:rPr>
            </w:pPr>
          </w:p>
        </w:tc>
      </w:tr>
      <w:tr>
        <w:trPr>
          <w:trHeight w:val="191"/>
        </w:trPr>
        <w:tc>
          <w:tcPr>
            <w:tcW w:w="2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340" w:type="dxa"/>
            <w:vAlign w:val="bottom"/>
          </w:tcPr>
          <w:p>
            <w:pPr>
              <w:spacing w:after="0"/>
              <w:rPr>
                <w:sz w:val="16"/>
                <w:szCs w:val="16"/>
                <w:color w:val="auto"/>
              </w:rPr>
            </w:pPr>
          </w:p>
        </w:tc>
      </w:tr>
      <w:tr>
        <w:trPr>
          <w:trHeight w:val="234"/>
        </w:trPr>
        <w:tc>
          <w:tcPr>
            <w:tcW w:w="2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340" w:type="dxa"/>
            <w:vAlign w:val="bottom"/>
          </w:tcPr>
          <w:p>
            <w:pPr>
              <w:spacing w:after="0"/>
              <w:rPr>
                <w:sz w:val="20"/>
                <w:szCs w:val="20"/>
                <w:color w:val="auto"/>
              </w:rPr>
            </w:pPr>
          </w:p>
        </w:tc>
      </w:tr>
      <w:tr>
        <w:trPr>
          <w:trHeight w:val="648"/>
        </w:trPr>
        <w:tc>
          <w:tcPr>
            <w:tcW w:w="2660" w:type="dxa"/>
            <w:vAlign w:val="bottom"/>
          </w:tcPr>
          <w:p>
            <w:pPr>
              <w:spacing w:after="0"/>
              <w:rPr>
                <w:sz w:val="24"/>
                <w:szCs w:val="24"/>
                <w:color w:val="auto"/>
              </w:rPr>
            </w:pPr>
          </w:p>
        </w:tc>
        <w:tc>
          <w:tcPr>
            <w:tcW w:w="72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[Signature Page to Forbearance Agreement]</w:t>
            </w:r>
          </w:p>
        </w:tc>
        <w:tc>
          <w:tcPr>
            <w:tcW w:w="1340" w:type="dxa"/>
            <w:vAlign w:val="bottom"/>
          </w:tcPr>
          <w:p>
            <w:pPr>
              <w:spacing w:after="0"/>
              <w:rPr>
                <w:sz w:val="24"/>
                <w:szCs w:val="24"/>
                <w:color w:val="auto"/>
              </w:rPr>
            </w:pPr>
          </w:p>
        </w:tc>
      </w:tr>
      <w:tr>
        <w:trPr>
          <w:trHeight w:val="574"/>
        </w:trPr>
        <w:tc>
          <w:tcPr>
            <w:tcW w:w="2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EHH HOLDINGS,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SUNBLASTER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HYDROFARM CANADA,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SUNBLASTER HOLDINGS ULC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unlimited liability corporation existing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under the laws of the Province of British Columbia</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EDDI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WHOLESALE GARDEN SUPPLIES LTD.</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corporation organized under the laws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the Province of British Columbia</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HOUSE &amp; GARDEN HOLDNGS,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AURORA INTERNATIONAL,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Oregon limited liability company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AURORA PEAT PRODUCTS ULC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unlimited liability corporation existing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under the laws of Province of Alberta</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GREENSTAR PLANT PRODUCTS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federal corporation organized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under the laws of Canada</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INNOVATIVE GROWERS EQUIPMENT, INC.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INNOVATIVE AG INSTALLATION,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INNOVATIVE RACKING SYSTEMS,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INNOVATIVE SHIPPING SOLUTIONS, INC.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MANUFACTURING &amp; SUPPLY CHAIN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SERVICES, INC.</w:t>
      </w:r>
      <w:r>
        <w:rPr>
          <w:rFonts w:ascii="Times New Roman" w:cs="Times New Roman" w:eastAsia="Times New Roman" w:hAnsi="Times New Roman"/>
          <w:sz w:val="18"/>
          <w:szCs w:val="18"/>
          <w:color w:val="auto"/>
        </w:rPr>
        <w:t>, a Delaware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INNOVATIVE GROWERS EQUIPMENT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CANADA, INC.</w:t>
      </w:r>
      <w:r>
        <w:rPr>
          <w:rFonts w:ascii="Times New Roman" w:cs="Times New Roman" w:eastAsia="Times New Roman" w:hAnsi="Times New Roman"/>
          <w:sz w:val="18"/>
          <w:szCs w:val="18"/>
          <w:color w:val="auto"/>
        </w:rPr>
        <w:t>, an Ontario corporation</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Toler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 w:name="page20"/>
    <w:bookmarkEnd w:id="19"/>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FEAC AGENT,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1" w:lineRule="exact"/>
        <w:rPr>
          <w:sz w:val="20"/>
          <w:szCs w:val="20"/>
          <w:color w:val="auto"/>
        </w:rPr>
      </w:pPr>
    </w:p>
    <w:p>
      <w:pPr>
        <w:sectPr>
          <w:pgSz w:w="11900" w:h="16838" w:orient="portrait"/>
          <w:cols w:equalWidth="0" w:num="2">
            <w:col w:w="4920" w:space="720"/>
            <w:col w:w="4499"/>
          </w:cols>
          <w:pgMar w:left="320" w:top="576" w:right="1440" w:bottom="1440" w:gutter="0" w:footer="0" w:header="0"/>
        </w:sect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type w:val="continuous"/>
        </w:sectPr>
      </w:pP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type w:val="continuous"/>
        </w:sectPr>
      </w:pPr>
    </w:p>
    <w:bookmarkStart w:id="20" w:name="page21"/>
    <w:bookmarkEnd w:id="20"/>
    <w:p>
      <w:pPr>
        <w:ind w:left="4520"/>
        <w:spacing w:after="0"/>
        <w:rPr>
          <w:sz w:val="20"/>
          <w:szCs w:val="20"/>
          <w:color w:val="auto"/>
        </w:rPr>
      </w:pPr>
      <w:r>
        <w:rPr>
          <w:rFonts w:ascii="Times New Roman" w:cs="Times New Roman" w:eastAsia="Times New Roman" w:hAnsi="Times New Roman"/>
          <w:sz w:val="18"/>
          <w:szCs w:val="18"/>
          <w:b w:val="1"/>
          <w:bCs w:val="1"/>
          <w:color w:val="auto"/>
        </w:rPr>
        <w:t>FIRST EAGLE COMMERCIAL LOAN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FUNDING 2016-1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Designated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FIRST EAGLE CREDIT OPPORTUNITIES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 SPV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FIRST EAGLE DIRECT LENDING FUND IV,</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IV</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CO-INVEST,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FIRST EAGLE DIRECT LENDING LEVERED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 IV,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V-A,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V-B SPV,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Direct Lending V-B,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Designated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FIRST EAGLE DIRECT LENDING V-C SCSP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NEWSTAR ARLINGTON SENIOR LOAN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PROGRAM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7"/>
          <w:szCs w:val="17"/>
          <w:b w:val="1"/>
          <w:bCs w:val="1"/>
          <w:color w:val="auto"/>
        </w:rPr>
        <w:t>NEWSTAR FAIRFIELD FUND CLO LTD.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II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EU,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IV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First Eagle Alternative Credit,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V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First Eagle Alternative Credit,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BLACKROCK CAPITAL ALLOCATION TERM</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CREDIT RELATIVE VALUE FUND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OF BLACKROCK FUNDS IV</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STRATEGIC INCOME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OPPORTUNITIES PORTFOLIO OF BLACKROCK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FUNDS V</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BLACKROCK STRATEGIC GLOBAL BOND FUND,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7"/>
          <w:szCs w:val="17"/>
          <w:b w:val="1"/>
          <w:bCs w:val="1"/>
          <w:color w:val="auto"/>
        </w:rPr>
        <w:t>BLACKROCK GLOBAL ALLOCATION FUND,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COLLECTIVE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STRATEGIC INCOME OPPORTUNITIES BOND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TOTAL RETURN BOND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PORTFOLIO OF BLACKROCK SERIES FUND,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 V.I. FUND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OF BLACKROCK VARIABLE SERIES FUNDS, INC.</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ESG CAPITAL ALLOCATION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TERM TRUST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JNL/BLACKROCK GLOBAL ALLOCATION FUND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Sub-Advisor for JNL/BlackRock Global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Allocation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8"/>
          <w:szCs w:val="18"/>
          <w:b w:val="1"/>
          <w:bCs w:val="1"/>
          <w:color w:val="auto"/>
        </w:rPr>
        <w:t>BLACKROCK INVESTMENT MANAGEMENT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(AUSTRALIA) LIMITED AS RESPONSIBLE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ENTITY OF THE BLACKROCK GLOBAL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ALLOCATION FUND (AUST)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as Sub-</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BRIGHTHOUSE FUNDS TRUST II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BLACKROCK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BOND INCOME PORTFOLIO</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as Investment Advisor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TOTAL RETURN FUND OF</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BOND FUND, 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9" w:name="page30"/>
    <w:bookmarkEnd w:id="29"/>
    <w:p>
      <w:pPr>
        <w:ind w:left="4520"/>
        <w:spacing w:after="0"/>
        <w:rPr>
          <w:sz w:val="20"/>
          <w:szCs w:val="20"/>
          <w:color w:val="auto"/>
        </w:rPr>
      </w:pPr>
      <w:r>
        <w:rPr>
          <w:rFonts w:ascii="Times New Roman" w:cs="Times New Roman" w:eastAsia="Times New Roman" w:hAnsi="Times New Roman"/>
          <w:sz w:val="18"/>
          <w:szCs w:val="18"/>
          <w:b w:val="1"/>
          <w:bCs w:val="1"/>
          <w:color w:val="auto"/>
        </w:rPr>
        <w:t>BLACKROCK INVESTMENT MANAGEMENT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(AUSTRALIA) LIMITED AS RESPONSIBLE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ENTITY OF THE BLACKROCK GLOBAL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ALLOCATION FUND (AUST)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as Sub-</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BRIGHTHOUSE FUNDS TRUST II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BLACKROCK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BOND INCOME PORTFOLIO</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as Investment Advisor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TOTAL RETURN FUND OF</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BOND FUND, 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7"/>
          <w:szCs w:val="17"/>
          <w:b w:val="1"/>
          <w:bCs w:val="1"/>
          <w:color w:val="auto"/>
        </w:rPr>
        <w:t>LVIP BLACKROCK GLOBAL ALLOCATION FUND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its Sub-</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FIXED INCOME OPPORTUNITIES NERO,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Financial Management, Inc., its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1" w:name="page32"/>
    <w:bookmarkEnd w:id="31"/>
    <w:p>
      <w:pPr>
        <w:ind w:left="4520"/>
        <w:spacing w:after="0"/>
        <w:rPr>
          <w:sz w:val="20"/>
          <w:szCs w:val="20"/>
          <w:color w:val="auto"/>
        </w:rPr>
      </w:pPr>
      <w:r>
        <w:rPr>
          <w:rFonts w:ascii="Times New Roman" w:cs="Times New Roman" w:eastAsia="Times New Roman" w:hAnsi="Times New Roman"/>
          <w:sz w:val="17"/>
          <w:szCs w:val="17"/>
          <w:b w:val="1"/>
          <w:bCs w:val="1"/>
          <w:color w:val="auto"/>
        </w:rPr>
        <w:t>3M Employee Retirement Income Plan Trust</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INPRS Strategic Credit Holdings,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2" w:name="page33"/>
    <w:bookmarkEnd w:id="32"/>
    <w:p>
      <w:pPr>
        <w:ind w:left="4520"/>
        <w:spacing w:after="0"/>
        <w:rPr>
          <w:sz w:val="20"/>
          <w:szCs w:val="20"/>
          <w:color w:val="auto"/>
        </w:rPr>
      </w:pPr>
      <w:r>
        <w:rPr>
          <w:rFonts w:ascii="Times New Roman" w:cs="Times New Roman" w:eastAsia="Times New Roman" w:hAnsi="Times New Roman"/>
          <w:sz w:val="18"/>
          <w:szCs w:val="18"/>
          <w:b w:val="1"/>
          <w:bCs w:val="1"/>
          <w:color w:val="auto"/>
        </w:rPr>
        <w:t>Oaktree-NGP Strategic Credit,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3" w:name="page34"/>
    <w:bookmarkEnd w:id="33"/>
    <w:p>
      <w:pPr>
        <w:ind w:left="4520"/>
        <w:spacing w:after="0"/>
        <w:rPr>
          <w:sz w:val="20"/>
          <w:szCs w:val="20"/>
          <w:color w:val="auto"/>
        </w:rPr>
      </w:pPr>
      <w:r>
        <w:rPr>
          <w:rFonts w:ascii="Times New Roman" w:cs="Times New Roman" w:eastAsia="Times New Roman" w:hAnsi="Times New Roman"/>
          <w:sz w:val="18"/>
          <w:szCs w:val="18"/>
          <w:b w:val="1"/>
          <w:bCs w:val="1"/>
          <w:color w:val="auto"/>
        </w:rPr>
        <w:t>Oaktree-TBMR Strategic Credit Fund F,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4" w:name="page35"/>
    <w:bookmarkEnd w:id="34"/>
    <w:p>
      <w:pPr>
        <w:ind w:left="4520"/>
        <w:spacing w:after="0"/>
        <w:rPr>
          <w:sz w:val="20"/>
          <w:szCs w:val="20"/>
          <w:color w:val="auto"/>
        </w:rPr>
      </w:pPr>
      <w:r>
        <w:rPr>
          <w:rFonts w:ascii="Times New Roman" w:cs="Times New Roman" w:eastAsia="Times New Roman" w:hAnsi="Times New Roman"/>
          <w:sz w:val="17"/>
          <w:szCs w:val="17"/>
          <w:b w:val="1"/>
          <w:bCs w:val="1"/>
          <w:color w:val="auto"/>
        </w:rPr>
        <w:t>Oaktree-TCDRS Strategic Credit,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Oaktree-TSE 16 Strategic Credit,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5" w:name="page36"/>
    <w:bookmarkEnd w:id="35"/>
    <w:p>
      <w:pPr>
        <w:ind w:left="4520"/>
        <w:spacing w:after="0"/>
        <w:rPr>
          <w:sz w:val="20"/>
          <w:szCs w:val="20"/>
          <w:color w:val="auto"/>
        </w:rPr>
      </w:pPr>
      <w:r>
        <w:rPr>
          <w:rFonts w:ascii="Times New Roman" w:cs="Times New Roman" w:eastAsia="Times New Roman" w:hAnsi="Times New Roman"/>
          <w:sz w:val="17"/>
          <w:szCs w:val="17"/>
          <w:b w:val="1"/>
          <w:bCs w:val="1"/>
          <w:color w:val="auto"/>
        </w:rPr>
        <w:t>REDWOOD OPPORTUNITY MASTER FUND, LTD.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Redwood Capital Management, LLC, its investment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Sean Sauler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Sean Sauler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Deputy CEO</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CORBIN OPPORTUNITY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Redwood Capital Management, LLC, its subadvisor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Sean Sauler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Sean Sauler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Deputy CEO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Specified Default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Event of Default has occurred and is continuing under Section 8.1(a)(ii) of the Credit Agreement as a result of the Borrower’s failure to pay interest with respect to the Term Loans due on January 31, 2026 within five (5) days after such due date.</w:t>
      </w:r>
    </w:p>
    <w:p>
      <w:pPr>
        <w:sectPr>
          <w:pgSz w:w="11900" w:h="16838" w:orient="portrait"/>
          <w:cols w:equalWidth="0" w:num="1">
            <w:col w:w="11240"/>
          </w:cols>
          <w:pgMar w:left="320" w:top="57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CREDIT AND GUARANTY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8, 2026, to the Credit and Guaranty Agreement, dated as of October 25, 2021 (as amended, restated, supplemented or otherwise modified prior to the Amendment No. 2 Closing Date (as defined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Credit Agreement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by and among HYDROFARM HOLDINGS GROUP,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Subsidiaries of the Borrower party thereto from time to time, the Lenders party thereto and FEAC AGENT, LLC, a Delaware limited liability company, as administrative agent (in such capacity, including any successor thereto,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Collateral Agent.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an Event of Default has occurred and is continuing as a result of the Borrower’s failure to pay interest with respect to the Term Loans due on January 31, 2026 within five days after such due date (the “</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Specified Event of Default, the Borrower has requested, and the Agent and Lenders have agreed, to enter into that certain Forbearance Agreement, dated as of the date hereof (the “</w:t>
      </w:r>
      <w:r>
        <w:rPr>
          <w:rFonts w:ascii="Times New Roman" w:cs="Times New Roman" w:eastAsia="Times New Roman" w:hAnsi="Times New Roman"/>
          <w:sz w:val="18"/>
          <w:szCs w:val="18"/>
          <w:u w:val="single" w:color="auto"/>
          <w:color w:val="auto"/>
        </w:rPr>
        <w:t>Forbearance Agreement</w:t>
      </w:r>
      <w:r>
        <w:rPr>
          <w:rFonts w:ascii="Times New Roman" w:cs="Times New Roman" w:eastAsia="Times New Roman" w:hAnsi="Times New Roman"/>
          <w:sz w:val="18"/>
          <w:szCs w:val="18"/>
          <w:color w:val="auto"/>
        </w:rPr>
        <w:t>”), pursuant to which the Lenders and Agent will agree to forbear from exercising certain rights and remedies with respect to the Specified Event of Default, in each case, as more fully set forth in the Forbearance Agreement;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to Agent’s and Lender’s entry into the Forbearance Agreement, Borrower has agreed to amend the Credit Agreement to, among other things, revise Borrower’s reporting obligations thereunder and make such other changes, in each case, as set forth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agreements and covenants contained in the Credit Agreement and herein and for other good and valuable consideration, the receipt and sufficiency of which are hereby acknowledged, the parties hereto hereby agree as follows: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Unless otherwise specifically defined herein, each term used herein that is defined in the Credit Agreement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assigned to such term in the Credit Agreement. Each reference in the Credit Agreement to “this Agreement”, “hereof”, “hereunder”, “herein” and “hereby” and each other similar reference, and each reference in any other Credit Document to “the Credit Agreement”, “thereof”, “thereunder”, “therein” or “thereby” or any other similar reference to the Credit Agreement shall, from the Amendment No. 2 Closing Date, refer to the Amended Credit Agreement.</w:t>
      </w:r>
    </w:p>
    <w:p>
      <w:pPr>
        <w:spacing w:after="0" w:line="3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i w:val="1"/>
          <w:iCs w:val="1"/>
          <w:color w:val="auto"/>
        </w:rPr>
        <w:t>Amendments to Credit Agreement</w:t>
      </w:r>
      <w:r>
        <w:rPr>
          <w:rFonts w:ascii="Times New Roman" w:cs="Times New Roman" w:eastAsia="Times New Roman" w:hAnsi="Times New Roman"/>
          <w:sz w:val="18"/>
          <w:szCs w:val="18"/>
          <w:color w:val="auto"/>
        </w:rPr>
        <w:t>. In accordance with Section 10.5 of the Credit Agreement and effective as of the Amendment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000000"/>
        </w:rPr>
        <w:t>) and to add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double-underlined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text) as set forth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 the conformed copy of the Amended Credit Agreement attached as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00"/>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i w:val="1"/>
          <w:iCs w:val="1"/>
          <w:color w:val="auto"/>
        </w:rPr>
        <w:t>Representations of the Borrower; Reaffirmations</w:t>
      </w:r>
      <w:r>
        <w:rPr>
          <w:rFonts w:ascii="Times New Roman" w:cs="Times New Roman" w:eastAsia="Times New Roman" w:hAnsi="Times New Roman"/>
          <w:sz w:val="18"/>
          <w:szCs w:val="18"/>
          <w:color w:val="auto"/>
        </w:rPr>
        <w:t>. After giving effect to this Amendment, the Borrower represents and warrants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Default or Event of Default (other than the Specified Event of Default) has occurred and is continuing or would result therefrom and (b) the representations and warranties set forth in the Credit Agreement and the other Credit Documents will be true and correct in all material respects on and as of the Amendment No. 2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to the extent that any such representation or warranty expressly relates to an earlier date such representation or warranty will be true in all material respects as of such earlier date and (ii) if such representation or warranty is qualified by materiality, such representation and warranty will be true in all respects. By its signature below, Borrower reaffirms, on its own behalf and on behalf of each other Credit Party, all of the Obligations of each Credit Party to the Lenders and the Liens on the Collateral securing such Obligations.</w:t>
      </w:r>
    </w:p>
    <w:p>
      <w:pPr>
        <w:spacing w:after="0" w:line="183" w:lineRule="exact"/>
        <w:rPr>
          <w:sz w:val="20"/>
          <w:szCs w:val="20"/>
          <w:color w:val="auto"/>
        </w:rPr>
      </w:pPr>
    </w:p>
    <w:p>
      <w:pPr>
        <w:spacing w:after="0"/>
        <w:tabs>
          <w:tab w:leader="none" w:pos="1140" w:val="left"/>
          <w:tab w:leader="none" w:pos="5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i w:val="1"/>
          <w:iCs w:val="1"/>
          <w:color w:val="auto"/>
        </w:rPr>
        <w:t>Conditions to the Amendment No. 2 Closing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Amendment shall become effective on the date hereof (the “</w:t>
      </w:r>
      <w:r>
        <w:rPr>
          <w:rFonts w:ascii="Times New Roman" w:cs="Times New Roman" w:eastAsia="Times New Roman" w:hAnsi="Times New Roman"/>
          <w:sz w:val="18"/>
          <w:szCs w:val="18"/>
          <w:u w:val="single" w:color="auto"/>
          <w:color w:val="auto"/>
        </w:rPr>
        <w:t>Amendment No.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satisfaction of each of the following conditions:</w:t>
      </w:r>
    </w:p>
    <w:p>
      <w:pPr>
        <w:spacing w:after="0" w:line="207" w:lineRule="exact"/>
        <w:rPr>
          <w:sz w:val="20"/>
          <w:szCs w:val="20"/>
          <w:color w:val="auto"/>
        </w:rPr>
      </w:pPr>
    </w:p>
    <w:p>
      <w:pPr>
        <w:ind w:left="620" w:hanging="612"/>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counterparts hereof duly executed by the Borrower, the Agent, and the Lenders;</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initial reports pursuant to Section 5.1(l) and Section 5.1(o) of the Amended Credit Agreement;</w:t>
      </w:r>
    </w:p>
    <w:p>
      <w:pPr>
        <w:spacing w:after="0" w:line="225" w:lineRule="exact"/>
        <w:rPr>
          <w:rFonts w:ascii="Times New Roman" w:cs="Times New Roman" w:eastAsia="Times New Roman" w:hAnsi="Times New Roman"/>
          <w:sz w:val="18"/>
          <w:szCs w:val="18"/>
          <w:color w:val="auto"/>
        </w:rPr>
      </w:pPr>
    </w:p>
    <w:p>
      <w:pPr>
        <w:ind w:right="40" w:firstLine="8"/>
        <w:spacing w:after="0" w:line="282" w:lineRule="auto"/>
        <w:tabs>
          <w:tab w:leader="none" w:pos="6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with respect to the Borrower, each of the items described in Section 5.3(e) of the U.S. Security Agreement delivered by the Company with the approval of the Financial Advisor (as defined in the Forbearance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certificate, executed by an Authorized Officer of the Borrower, attaching each of the following and certifying as to the true, correct, and complete nature of each such item as of the Amendment No. 2 Closing Date: (i) the certificate of incorporation of the Borrower, certified as of a recent date by the Secretary of State of the State of Delaware, (ii) the bylaws of the Borrower, (iii) a certificate evidencing the good standing of the Borrower, certified as of a recent date by the Secretary of State of the State of Delaware, (iv) written resolutions of the board of directors of the Borrower authorizing Borrower’s entry into this Amendment, the Forbearance Agreement, and each of the transactions contemplated hereby and thereby, and (v) an incumbency certificate of Borrower setting forth the names, titles, and signatures of those individuals authorized to enter into this Amendment, the Forbearance Agreement, and each of documents contemplated hereby or thereby or relating hereto or thereto; and</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6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payment in full of the annual administration fee due pursuant to the fee letter dated as of March 12, 2026, by and between Borrower and Agent.</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i w:val="1"/>
          <w:iCs w:val="1"/>
          <w:color w:val="auto"/>
        </w:rPr>
        <w:t>Post-Closing Deliveries</w:t>
      </w:r>
      <w:r>
        <w:rPr>
          <w:rFonts w:ascii="Times New Roman" w:cs="Times New Roman" w:eastAsia="Times New Roman" w:hAnsi="Times New Roman"/>
          <w:sz w:val="18"/>
          <w:szCs w:val="18"/>
          <w:color w:val="auto"/>
        </w:rPr>
        <w:t>. The Borrower covenants that within thirty (30) days of the Amendment No. 2 Closing Date,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shall have delivered to the Agent fully executed Deposit Account Control Agreements (as defined in the Security Agreement) in favor of Agent with respect to each of the Deposit Accounts (as defined in the Security Agreement) held in the name of each such Credit Party (other than any such Deposit Accounts that constitute Excluded Collateral (as defined in the Security Agreement)), and failure to do so shall be deemed to be an immediate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8"/>
        <w:spacing w:after="0" w:line="266" w:lineRule="auto"/>
        <w:tabs>
          <w:tab w:leader="none" w:pos="6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ANY CLAIM, CONTROVERSY OR DISPUTE THAT MAY BE BASED UPON, ARISE OUT OF OR RELATE TO THIS AMENDMENT, SHALL BE GOVERNED BY, AND CONSTRUED AND INTERPRETED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7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jurisdiction, venue, service of process and waiver of jury trial provisions in Sections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10.16</w:t>
      </w:r>
      <w:r>
        <w:rPr>
          <w:rFonts w:ascii="Times New Roman" w:cs="Times New Roman" w:eastAsia="Times New Roman" w:hAnsi="Times New Roman"/>
          <w:sz w:val="18"/>
          <w:szCs w:val="18"/>
          <w:color w:val="auto"/>
        </w:rPr>
        <w:t xml:space="preserve"> of the Credit Agreement are hereby incorporated by reference into this Amendment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Amendment.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i w:val="1"/>
          <w:iCs w:val="1"/>
          <w:color w:val="auto"/>
        </w:rPr>
        <w:t>Credit Agreement Governs</w:t>
      </w:r>
      <w:r>
        <w:rPr>
          <w:rFonts w:ascii="Times New Roman" w:cs="Times New Roman" w:eastAsia="Times New Roman" w:hAnsi="Times New Roman"/>
          <w:sz w:val="18"/>
          <w:szCs w:val="18"/>
          <w:color w:val="auto"/>
        </w:rPr>
        <w:t>. Except as expressly set forth herein, this Amendment shall not by implication or otherwise limit, impair,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waiver of or otherwise affect the rights and remedies of any Lender or the Agent under the Credit Agreement or any other Credit Document (including, without limitation, with respect to the Specified Event of Default), and shall not alter, modify, amend, novate or in any way affect any of the terms, conditions, obligations, covenants or agreements contained in the Credit Agreement or any other Credit Document, all of which are ratified and affirmed in all respects and shall continue in full force and effect. Nothing herein shall be deemed to entitle any Credit Party to a future consent to, or a waiver, amendment, modification or other change of, any of the terms, conditions, obligations, covenants or agreements contained in the Credit Agreement or any other Credit Document in similar or different circumstances.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Amendment may be executed in any number of counterparts and by the different parties hereto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counterparts shall be an original, but all of which shall together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“Electronic Signature” means an electronic sound, symbol, or process attached to, or associated with, a contract or other record and adopted by a person with the intent to sign, authenticate or accept such contract or record.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This Amendment shall constitute a “Credit Document” for all purposes of the Credit Agreement and the other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provisions of this Amendment are deemed incorporated into the Credit Agreement as if fully set forth therein.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No. 2 to Credit and Guaranty Agreement to be duly executed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O’Biren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O’Biren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ind w:left="4520"/>
        <w:spacing w:after="0"/>
        <w:rPr>
          <w:sz w:val="20"/>
          <w:szCs w:val="20"/>
          <w:color w:val="auto"/>
        </w:rPr>
      </w:pPr>
      <w:r>
        <w:rPr>
          <w:rFonts w:ascii="Times New Roman" w:cs="Times New Roman" w:eastAsia="Times New Roman" w:hAnsi="Times New Roman"/>
          <w:sz w:val="18"/>
          <w:szCs w:val="18"/>
          <w:b w:val="1"/>
          <w:bCs w:val="1"/>
          <w:color w:val="auto"/>
        </w:rPr>
        <w:t>FEAC AGENT,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Agent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FIRST EAGLE COMMERCIAL LOAN FUNDING</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2016-1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Designated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FIRST EAGLE CREDIT OPPORTUNITIES FUND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SPV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FUND IV,</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IV CO-</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FIRST EAGLE DIRECT LENDING LEVERED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 IV,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V-A,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4" w:name="page45"/>
    <w:bookmarkEnd w:id="44"/>
    <w:p>
      <w:pPr>
        <w:ind w:left="4520"/>
        <w:spacing w:after="0"/>
        <w:rPr>
          <w:sz w:val="20"/>
          <w:szCs w:val="20"/>
          <w:color w:val="auto"/>
        </w:rPr>
      </w:pPr>
      <w:r>
        <w:rPr>
          <w:rFonts w:ascii="Times New Roman" w:cs="Times New Roman" w:eastAsia="Times New Roman" w:hAnsi="Times New Roman"/>
          <w:sz w:val="17"/>
          <w:szCs w:val="17"/>
          <w:b w:val="1"/>
          <w:bCs w:val="1"/>
          <w:color w:val="auto"/>
        </w:rPr>
        <w:t>FIRST EAGLE DIRECT LENDING V-B SPV,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Direct Lending V-B,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Designated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FIRST EAGLE DIRECT LENDING V-C SCSP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Portfolio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NEWSTAR ARLINGTON SENIOR LOAN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PROGRAM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Designated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7"/>
          <w:szCs w:val="17"/>
          <w:b w:val="1"/>
          <w:bCs w:val="1"/>
          <w:color w:val="auto"/>
        </w:rPr>
        <w:t>NEWSTAR FAIRFIELD FUND CLO LTD.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II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First Eagle Alternative Credit EU,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IV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First Eagle Alternative Credit,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LAKE SHORE MM CLO V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First Eagle Alternative Credit,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Michelle Handy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8"/>
          <w:szCs w:val="18"/>
          <w:b w:val="1"/>
          <w:bCs w:val="1"/>
          <w:color w:val="auto"/>
        </w:rPr>
        <w:t>BLACKROCK CAPITAL ALLOCATION TERM</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BLACKROCK CREDIT RELATIVE VALUE FUND</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OF BLACKROCK FUNDS IV</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STRATEGIC INCOME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OPPORTUNITIES PORTFOLIO OF BLACKROCK</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FUNDS V</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8"/>
          <w:szCs w:val="18"/>
          <w:b w:val="1"/>
          <w:bCs w:val="1"/>
          <w:color w:val="auto"/>
        </w:rPr>
        <w:t>BLACKROCK STRATEGIC GLOBAL BOND FUND,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BLACKROCK GLOBAL ALLOCATION FUND,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COLLECTIVE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9" w:name="page50"/>
    <w:bookmarkEnd w:id="49"/>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STRATEGIC INCOME OPPORTUNITIES BOND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INSTITUTIONAL TRUST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 NA, NOT IN ITS INDIVIDUAL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CAPACITY BUT AS TRUSTEE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TOTAL RETURN BOND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PORTFOLIO OF BLACKROCK SERIES FUND,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-130810</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GLOBAL ALLOCATION V.I. FUND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OF BLACKROCK VARIABLE SERIES FUNDS, INC.</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0" w:name="page51"/>
    <w:bookmarkEnd w:id="50"/>
    <w:p>
      <w:pPr>
        <w:ind w:left="4520"/>
        <w:spacing w:after="0"/>
        <w:rPr>
          <w:sz w:val="20"/>
          <w:szCs w:val="20"/>
          <w:color w:val="auto"/>
        </w:rPr>
      </w:pPr>
      <w:r>
        <w:rPr>
          <w:rFonts w:ascii="Times New Roman" w:cs="Times New Roman" w:eastAsia="Times New Roman" w:hAnsi="Times New Roman"/>
          <w:sz w:val="18"/>
          <w:szCs w:val="18"/>
          <w:b w:val="1"/>
          <w:bCs w:val="1"/>
          <w:color w:val="auto"/>
        </w:rPr>
        <w:t>BLACKROCK ESG CAPITAL ALLOCATION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TERM TRUST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JNL/BLACKROCK GLOBAL ALLOCATION FUND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Sub-Advisor for JNL/BlackRock Global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Allocation Fund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INVESTMENT MANAGEMENT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(AUSTRALIA) LIMITED AS RESPONSIBLE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ENTITY OF THE BLACKROCK GLOBAL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ALLOCATION FUND (AUST)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as Sub-</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1" w:name="page52"/>
    <w:bookmarkEnd w:id="51"/>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BRIGHTHOUSE FUNDS TRUST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BLACKROCK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BOND INCOME PORTFOLIO</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as Investment Advisor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TOTAL RETURN FUND OF</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BLACKROCK BOND FUND, 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Advisors, LLC, in its capacity as adviser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LVIP BLACKROCK GLOBAL ALLOCATION FUND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Investment Management, LLC, its Sub-</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FIXED INCOME OPPORTUNITIES NERO,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BlackRock Financial Management, Inc., its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Brennan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2" w:name="page53"/>
    <w:bookmarkEnd w:id="52"/>
    <w:p>
      <w:pPr>
        <w:ind w:left="4520"/>
        <w:spacing w:after="0"/>
        <w:rPr>
          <w:sz w:val="20"/>
          <w:szCs w:val="20"/>
          <w:color w:val="auto"/>
        </w:rPr>
      </w:pPr>
      <w:r>
        <w:rPr>
          <w:rFonts w:ascii="Times New Roman" w:cs="Times New Roman" w:eastAsia="Times New Roman" w:hAnsi="Times New Roman"/>
          <w:sz w:val="17"/>
          <w:szCs w:val="17"/>
          <w:b w:val="1"/>
          <w:bCs w:val="1"/>
          <w:color w:val="auto"/>
        </w:rPr>
        <w:t>3M Employee Retirement Income Plan Trust</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INPRS Strategic Credit Holdings,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8"/>
          <w:szCs w:val="18"/>
          <w:b w:val="1"/>
          <w:bCs w:val="1"/>
          <w:color w:val="auto"/>
        </w:rPr>
        <w:t>Oaktree-NGP Strategic Credit,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C,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8"/>
          <w:szCs w:val="18"/>
          <w:b w:val="1"/>
          <w:bCs w:val="1"/>
          <w:color w:val="auto"/>
        </w:rPr>
        <w:t>Oaktree-TBMR Strategic Credit Fund F,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Oaktree-TBMR Strategic Credit Fund G,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5" w:name="page56"/>
    <w:bookmarkEnd w:id="55"/>
    <w:p>
      <w:pPr>
        <w:ind w:left="4560"/>
        <w:spacing w:after="0"/>
        <w:rPr>
          <w:sz w:val="20"/>
          <w:szCs w:val="20"/>
          <w:color w:val="auto"/>
        </w:rPr>
      </w:pPr>
      <w:r>
        <w:rPr>
          <w:rFonts w:ascii="Times New Roman" w:cs="Times New Roman" w:eastAsia="Times New Roman" w:hAnsi="Times New Roman"/>
          <w:sz w:val="18"/>
          <w:szCs w:val="18"/>
          <w:b w:val="1"/>
          <w:bCs w:val="1"/>
          <w:color w:val="auto"/>
        </w:rPr>
        <w:t>Oaktree-TCDRS Strategic Credit,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Oaktree-TSE 16 Strategic Credit,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Jessica Dombroff</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7"/>
          <w:szCs w:val="17"/>
          <w:b w:val="1"/>
          <w:bCs w:val="1"/>
          <w:color w:val="auto"/>
        </w:rPr>
        <w:t>REDWOOD OPPORTUNITY MASTER FUND, LTD.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Redwood Capital Management, LLC, its investment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Sean Sauler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Sean Sauler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Deputy CEO</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CORBIN OPPORTUNITY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Redwood Capital Management, LLC, its subadvisor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Sean Sauler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Sean Sauler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Deputy 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Amendment No. 2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Conformed through Amendment No. </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AND GUARANTY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October 25, 2021,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other Credit Parties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 LISTED HEREIN,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Lenders,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FF0000"/>
          <w:strike w:val="1"/>
        </w:rPr>
        <w:t>JPMORGAN CHASE BANK, N.A.,</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0000FF"/>
        </w:rPr>
        <w:t>FEAC AGENT, LLC,</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 xml:space="preserve">as </w:t>
      </w:r>
      <w:r>
        <w:rPr>
          <w:rFonts w:ascii="Times New Roman" w:cs="Times New Roman" w:eastAsia="Times New Roman" w:hAnsi="Times New Roman"/>
          <w:sz w:val="18"/>
          <w:szCs w:val="18"/>
          <w:b w:val="1"/>
          <w:bCs w:val="1"/>
          <w:color w:val="FF0000"/>
          <w:strike w:val="1"/>
        </w:rPr>
        <w:t>Sole Bookrunner, Sole Lead Arranger,</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314325</wp:posOffset>
            </wp:positionV>
            <wp:extent cx="10629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Senior Secured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191135</wp:posOffset>
            </wp:positionV>
            <wp:extent cx="10629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731520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748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Accounting Terms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Interpretation,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Judgment Currency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 Rata Shares; Availability of Funds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Evidence of Debt; Lenders’Books and Records; Notes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Conversion/Continuation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Scheduled Term Loan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2.12</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Voluntary Prepayments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2.13</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Mandatory Prepayments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2.14</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Prepayments/Reductions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2.15</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Provisions Regarding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2.16</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2.17</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Making or Maintaining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2.18</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Increased Costs; Capital Adequacy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2.19</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Withholding,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2.20</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Obligation to Mitigate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2.21</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Call Premium</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2.22</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Removal or Replacement of a Lender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2.23</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Incremental Term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CONDITIONS PRECEDENT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Closing Date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Organization; Requisite Power and Authority; Qualification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Stock and Ownership</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Authorization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Governmental Consents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Binding Obligation</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4.7</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Condition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4.8</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Projections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Material Adverse Change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4.10</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Adverse Facts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4.12</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Taxes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4.13</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4.14</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4.15</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Defaults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Governmental Regulation</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4.17</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Margin Regulations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4.18</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Matters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4.19</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 Plans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4.20</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Fees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4.22</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4.23</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4.24</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4.25</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4.27</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4.28</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AFFIRMATIVE COVENANTS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and Other Reports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Existence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Inspections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5.9</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5.10</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Collateral</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5.12</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After the Closing Date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5.14</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ERISA</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NEGATIVE COVENANTS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6.3</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Leasebacks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Further Negative Pledges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Payments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Restrictions on Subsidiary Distributions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Calculations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6.9</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Fundamental Changes; Asset Dispositions; Acquisitions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6.10</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Disposal of Subsidiary Interests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6.11</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Transactions with Shareholders and Affiliates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6.13</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6.14</w:t>
            </w:r>
          </w:p>
        </w:tc>
        <w:tc>
          <w:tcPr>
            <w:tcW w:w="1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FF0000"/>
                <w:strike w:val="1"/>
              </w:rPr>
              <w:t>[Reserved]</w:t>
            </w:r>
          </w:p>
        </w:tc>
        <w:tc>
          <w:tcPr>
            <w:tcW w:w="6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Minimum Liquidity</w:t>
            </w:r>
          </w:p>
        </w:tc>
        <w:tc>
          <w:tcPr>
            <w:tcW w:w="2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Borders>
              <w:top w:val="single" w:sz="8" w:color="0000FF"/>
              <w:bottom w:val="single" w:sz="8" w:color="0000FF"/>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7100" w:type="dxa"/>
            <w:vAlign w:val="bottom"/>
            <w:gridSpan w:val="3"/>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Amendments or Waivers of Certain Agreements</w:t>
            </w:r>
          </w:p>
        </w:tc>
        <w:tc>
          <w:tcPr>
            <w:tcW w:w="2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6.16</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Limitation on Payments Relating to Other Debt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6.18</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6.19</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Canadian Pension Plans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GUARANTY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Guaranty of the Obligations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 by Guarantors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Payment by Guarantors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Waivers by Guarantors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Guarantors’Rights of Subrogation, Contribution, etc</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7.7</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7.8</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Guaranty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7.9</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Authority of Guarantors or the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7.10</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Condition of the Company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Bankruptcy, etc</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7.12</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Discharge of Guaranty Upon Sale of Guarantor</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AGENTS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Limitation of Liability; Indemnity, Etc</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Set-Off</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10.6</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Successors and Assigns; Participations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10.7</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Warranties and Agreements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10.9</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10.10</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Marshalling; Payments Set Aside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10.11</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10.12</w:t>
            </w:r>
          </w:p>
        </w:tc>
        <w:tc>
          <w:tcPr>
            <w:tcW w:w="7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Obligations Several; Independent Nature of Lenders’Rights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10.13</w:t>
            </w:r>
          </w:p>
        </w:tc>
        <w:tc>
          <w:tcPr>
            <w:tcW w:w="7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10.14</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Applicable Law</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to Jurisdiction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10.17</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Usury Savings Clause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Effectiveness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10.21</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10.22</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USA PATRIOT Act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10.23</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10.24</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10.25</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10.27</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w:t>
            </w: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10.29</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Canadian Anti-Money Laundering Legislation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31"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Term Loan Commitments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Closing Date Documents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Organization and Capital Structure</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Capital Stock and Ownership</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Material Adverse Changes</w:t>
      </w:r>
    </w:p>
    <w:p>
      <w:pPr>
        <w:spacing w:after="0" w:line="9"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8"/>
          <w:szCs w:val="18"/>
          <w:color w:val="auto"/>
        </w:rPr>
        <w:t>4.11</w:t>
        <w:tab/>
        <w:t>Adverse Proceedings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Real Estate Assets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Environmental Matters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Employee Matters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7"/>
          <w:szCs w:val="17"/>
          <w:color w:val="auto"/>
        </w:rPr>
        <w:t>Employee Benefit Plans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Certain Existing Liens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Post-Closing Matters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6.1(f)  Certain Existing Indebtedness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6.1(k)  Certain Deferred Purchase Price Indebtedness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Permitted Liens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Certain Investments</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Certain Affiliate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Funding Notice</w:t>
      </w:r>
    </w:p>
    <w:p>
      <w:pPr>
        <w:spacing w:after="0" w:line="9"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Conversion/Continuation Notice</w:t>
      </w:r>
    </w:p>
    <w:p>
      <w:pPr>
        <w:spacing w:after="0" w:line="9" w:lineRule="exact"/>
        <w:rPr>
          <w:sz w:val="20"/>
          <w:szCs w:val="20"/>
          <w:color w:val="auto"/>
        </w:rPr>
      </w:pPr>
    </w:p>
    <w:p>
      <w:pPr>
        <w:ind w:left="1020" w:hanging="52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Note</w:t>
      </w:r>
    </w:p>
    <w:p>
      <w:pPr>
        <w:spacing w:after="0" w:line="9" w:lineRule="exact"/>
        <w:rPr>
          <w:sz w:val="20"/>
          <w:szCs w:val="20"/>
          <w:color w:val="auto"/>
        </w:rPr>
      </w:pPr>
    </w:p>
    <w:p>
      <w:pPr>
        <w:ind w:left="1020" w:hanging="52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1020" w:hanging="52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Counsel for Credit Parties</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7"/>
          <w:szCs w:val="17"/>
          <w:color w:val="auto"/>
        </w:rPr>
        <w:t>Assignment and Assumption</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U.S. Tax Certificate</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GSolvency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63" w:name="page64"/>
    <w:bookmarkEnd w:id="63"/>
    <w:p>
      <w:pPr>
        <w:ind w:left="526" w:hanging="526"/>
        <w:spacing w:after="0"/>
        <w:tabs>
          <w:tab w:leader="none" w:pos="5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 Agreement</w:t>
      </w:r>
    </w:p>
    <w:p>
      <w:pPr>
        <w:spacing w:after="0" w:line="200" w:lineRule="exact"/>
        <w:rPr>
          <w:sz w:val="20"/>
          <w:szCs w:val="20"/>
          <w:color w:val="auto"/>
        </w:rPr>
      </w:pPr>
    </w:p>
    <w:p>
      <w:pPr>
        <w:spacing w:after="0" w:line="241" w:lineRule="exact"/>
        <w:rPr>
          <w:sz w:val="20"/>
          <w:szCs w:val="20"/>
          <w:color w:val="auto"/>
        </w:rPr>
      </w:pPr>
    </w:p>
    <w:p>
      <w:pPr>
        <w:ind w:left="566" w:hanging="566"/>
        <w:spacing w:after="0"/>
        <w:tabs>
          <w:tab w:leader="none" w:pos="5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7" w:lineRule="exact"/>
        <w:rPr>
          <w:sz w:val="20"/>
          <w:szCs w:val="20"/>
          <w:color w:val="auto"/>
        </w:rPr>
      </w:pPr>
    </w:p>
    <w:p>
      <w:pPr>
        <w:ind w:left="526" w:hanging="526"/>
        <w:spacing w:after="0"/>
        <w:tabs>
          <w:tab w:leader="none" w:pos="5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546" w:hanging="546"/>
        <w:spacing w:after="0"/>
        <w:tabs>
          <w:tab w:leader="none" w:pos="5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ind w:left="566" w:hanging="566"/>
        <w:spacing w:after="0"/>
        <w:tabs>
          <w:tab w:leader="none" w:pos="5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526" w:hanging="526"/>
        <w:spacing w:after="0"/>
        <w:tabs>
          <w:tab w:leader="none" w:pos="5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Joinder</w:t>
      </w: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5"/>
          </w:cols>
          <w:pgMar w:left="814" w:top="580"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AND GUARANTY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CREDIT AND GUARANTY AGREEMENT</w:t>
      </w:r>
      <w:r>
        <w:rPr>
          <w:rFonts w:ascii="Times New Roman" w:cs="Times New Roman" w:eastAsia="Times New Roman" w:hAnsi="Times New Roman"/>
          <w:sz w:val="18"/>
          <w:szCs w:val="18"/>
          <w:color w:val="auto"/>
        </w:rPr>
        <w:t>, dated as of October 25, 2021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Hydrofarm Holdings Group,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Subsidiaries of the Borrower party hereto from time to time (each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the banks and financial institutions party hereto from time to time as Lenders (as defined herein), </w:t>
      </w:r>
      <w:r>
        <w:rPr>
          <w:rFonts w:ascii="Times New Roman" w:cs="Times New Roman" w:eastAsia="Times New Roman" w:hAnsi="Times New Roman"/>
          <w:sz w:val="18"/>
          <w:szCs w:val="18"/>
          <w:u w:val="single" w:color="auto"/>
          <w:color w:val="0000FF"/>
        </w:rPr>
        <w:t>FEAC Agent, LLC (as successor to</w:t>
      </w:r>
      <w:r>
        <w:rPr>
          <w:rFonts w:ascii="Times New Roman" w:cs="Times New Roman" w:eastAsia="Times New Roman" w:hAnsi="Times New Roman"/>
          <w:sz w:val="18"/>
          <w:szCs w:val="18"/>
          <w:color w:val="auto"/>
        </w:rPr>
        <w:t xml:space="preserve"> JPMorgan Chase Bank, N.A.), as collateral agent for the Lenders and the other Secured Parties (as defined herein) and </w:t>
      </w:r>
      <w:r>
        <w:rPr>
          <w:rFonts w:ascii="Times New Roman" w:cs="Times New Roman" w:eastAsia="Times New Roman" w:hAnsi="Times New Roman"/>
          <w:sz w:val="18"/>
          <w:szCs w:val="18"/>
          <w:u w:val="single" w:color="auto"/>
          <w:color w:val="0000FF"/>
        </w:rPr>
        <w:t>FEAC Agent, LLC (as successor to</w:t>
      </w:r>
      <w:r>
        <w:rPr>
          <w:rFonts w:ascii="Times New Roman" w:cs="Times New Roman" w:eastAsia="Times New Roman" w:hAnsi="Times New Roman"/>
          <w:sz w:val="18"/>
          <w:szCs w:val="18"/>
          <w:color w:val="auto"/>
        </w:rPr>
        <w:t xml:space="preserve"> JPMorgan Chase Bank, N.A.), as administrative agent for the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1" w:lineRule="exact"/>
        <w:rPr>
          <w:sz w:val="20"/>
          <w:szCs w:val="20"/>
          <w:color w:val="auto"/>
        </w:rPr>
      </w:pPr>
    </w:p>
    <w:p>
      <w:pPr>
        <w:ind w:left="188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 AND INTERPRETATION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following terms used herein, including in the preamble, recitals, exhibits and schedules hereto, shall have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Obligations Payment Date</w:t>
      </w:r>
      <w:r>
        <w:rPr>
          <w:rFonts w:ascii="Times New Roman" w:cs="Times New Roman" w:eastAsia="Times New Roman" w:hAnsi="Times New Roman"/>
          <w:sz w:val="18"/>
          <w:szCs w:val="18"/>
          <w:color w:val="auto"/>
        </w:rPr>
        <w:t>” has the meaning assigned to such term in the Intercreditor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Priority Collateral</w:t>
      </w:r>
      <w:r>
        <w:rPr>
          <w:rFonts w:ascii="Times New Roman" w:cs="Times New Roman" w:eastAsia="Times New Roman" w:hAnsi="Times New Roman"/>
          <w:sz w:val="18"/>
          <w:szCs w:val="18"/>
          <w:color w:val="auto"/>
        </w:rPr>
        <w:t>” has the meaning assigned to that term in the Intercreditor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w:t>
      </w:r>
      <w:r>
        <w:rPr>
          <w:rFonts w:ascii="Times New Roman" w:cs="Times New Roman" w:eastAsia="Times New Roman" w:hAnsi="Times New Roman"/>
          <w:sz w:val="18"/>
          <w:szCs w:val="18"/>
          <w:color w:val="auto"/>
        </w:rPr>
        <w:t>” means Loans bearing interest at a rate determined by Alternate Base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Accepting Lenders</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Commitment</w:t>
      </w:r>
      <w:r>
        <w:rPr>
          <w:rFonts w:ascii="Times New Roman" w:cs="Times New Roman" w:eastAsia="Times New Roman" w:hAnsi="Times New Roman"/>
          <w:sz w:val="18"/>
          <w:szCs w:val="18"/>
          <w:color w:val="auto"/>
        </w:rPr>
        <w:t>” has the meaning assigned to that term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Lender</w:t>
      </w:r>
      <w:r>
        <w:rPr>
          <w:rFonts w:ascii="Times New Roman" w:cs="Times New Roman" w:eastAsia="Times New Roman" w:hAnsi="Times New Roman"/>
          <w:sz w:val="18"/>
          <w:szCs w:val="18"/>
          <w:color w:val="auto"/>
        </w:rPr>
        <w:t>” has the meaning assigned to that term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has the meaning assigned to that term in Section 2.23.</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JPMorgan Chase 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auto"/>
        </w:rPr>
        <w:t xml:space="preserve"> in its capacity as administrative agent for the Lenders hereunder and under the other Credit Documents.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Daily Simple SOFR</w:t>
      </w:r>
      <w:r>
        <w:rPr>
          <w:rFonts w:ascii="Times New Roman" w:cs="Times New Roman" w:eastAsia="Times New Roman" w:hAnsi="Times New Roman"/>
          <w:sz w:val="18"/>
          <w:szCs w:val="18"/>
          <w:color w:val="auto"/>
        </w:rPr>
        <w:t>” means an interest rate per annum equal to (a) Daily Simple SOFR, plus (b) 0.11448%; provided that if Adjusted Daily Simple SOFR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 Rate</w:t>
      </w:r>
      <w:r>
        <w:rPr>
          <w:rFonts w:ascii="Times New Roman" w:cs="Times New Roman" w:eastAsia="Times New Roman" w:hAnsi="Times New Roman"/>
          <w:sz w:val="18"/>
          <w:szCs w:val="18"/>
          <w:color w:val="auto"/>
        </w:rPr>
        <w:t>” means for any Interest Period, an interest rate per annum equal to (i) the Term SOFR Rate for such Interest Period, plus (ii) the applicable Term SOFR Adjustment; provided that if the Adjusted Term SOFR Rate as so determined would be less than the Floor, such rate shall be deemed to be equal to the Floor for the purposes of this Agreement.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the Company or any of its Subsidiaries) at law or in equity, or before or by any Governmental Authority, domestic or foreign (including any Environmental Claims), whether pending or, to the knowledge of the Company or any of its Subsidiaries, threatened against or affecting the Company or any of its Subsidiaries or any property of the Company or any of its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(i) to vote 10% or more of the Securities having ordinary voting power for the election of directors of such Person or (ii) to direct or cause the direction of the management and policies of that Person, whether through the ownership of voting securities or by contract or otherwise.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each of Administrative Agent and Collateral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has the meaning assigned to that term in Section 7.2.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Agreed Currency</w:t>
      </w:r>
      <w:r>
        <w:rPr>
          <w:rFonts w:ascii="Times New Roman" w:cs="Times New Roman" w:eastAsia="Times New Roman" w:hAnsi="Times New Roman"/>
          <w:sz w:val="18"/>
          <w:szCs w:val="18"/>
          <w:color w:val="auto"/>
        </w:rPr>
        <w:t>” means Dollars.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assigned to that term in the preamble hereto.</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means, for any day, a rate per annum equal to the greatest of (a) the Prime Rate in effect on such day, (b) the NYFRB Rate in effect on such day plus ½ of 1% and (c) the Adjusted Term SOFR Rate for a one month Interest Period as published two (2)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2.17(a) (for the avoidance of doubt, only until any amendment has become effective pursuant to Section 2.17(a)(ii)), then the Alternate Base Rate shall be the greater of clauses (a) and (b) above and shall be determined without reference to clause (c) above. For the avoidance of doubt, if the Alternate Base Rate as determined pursuant to the foregoing would be less than 2.00%, such rate shall be deemed to be 2.00% for purposes of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has the meaning assigned to that term in Section 10.19.</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means all laws, rules, and regulations of any jurisdiction applicable to the Company or any of its Subsidiaries from time to time concerning or relating to bribery or corruption, including the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(Canada).</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ECF Percentage</w:t>
      </w:r>
      <w:r>
        <w:rPr>
          <w:rFonts w:ascii="Times New Roman" w:cs="Times New Roman" w:eastAsia="Times New Roman" w:hAnsi="Times New Roman"/>
          <w:sz w:val="18"/>
          <w:szCs w:val="18"/>
          <w:color w:val="auto"/>
        </w:rPr>
        <w:t>” means, for any Fiscal Year, (a) 50%, if the First Lien Debt Ratio as of the last day of the most recently completed Fiscal Year for which financial statements have been delivered pursuant to Section 5.1(c) is greater than 2.50 to 1.00, (b) 25%, if the First Lien Debt Ratio as of the last day of the most recently completed Fiscal Year for which financial statements have been delivered pursuant to Section 5.1(c) is less than or equal to 2.50 to 1.00 and greater than 2.00 to 1.00 and (c) 0%, if the First Lien Debt Ratio as of the last day of the most recently completed Fiscal Year for which financial statements have been delivered pursuant to Section 5.1(c) is less than or equal to 2.00 to 1.00.</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for any day, with respect to any Loan, a percentage, per annum, equal to: (i) in the case of ABR Loans, 4.50% and (ii) in the case of Term Benchmark Loans (or, subject to Section 2.7(a) (iii), RFR Loans), 5.50%.</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Net Cash Proceeds Percentage</w:t>
      </w:r>
      <w:r>
        <w:rPr>
          <w:rFonts w:ascii="Times New Roman" w:cs="Times New Roman" w:eastAsia="Times New Roman" w:hAnsi="Times New Roman"/>
          <w:sz w:val="18"/>
          <w:szCs w:val="18"/>
          <w:color w:val="auto"/>
        </w:rPr>
        <w:t>” means, for any Fiscal Year, (a) 100%, if the First Lien Debt Ratio as of the last day of the most recently completed Fiscal Year for which financial statements have been delivered pursuant to Section 5.1(c) is greater than 2.50 to 1.00, (b) 50%, if the First Lien Debt Ratio as of the last day of the most recently completed Fiscal Year for which financial statements have been delivered pursuant to Section 5.1(c) is less than or equal to 2.50 to 1.00 and greater than 2.00 to 1.00 and (c) 0%, if the First Lien Debt Ratio as of the last day of the most recently completed Fiscal Year for which financial statements have been delivered pursuant to Section 5.1(c) is less than or equal to 2.00 to 1.00.</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means JPMorgan Chase Bank, N.A., as sole book runner and sole lead arranger hereunder.</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 a sale, lease or sub-lease (as lessor or sublessor), sale and leaseback, assignment, conveyance, transfer or other disposition to, or any exchange of property with, any Person (other than the Company or any Guarantor Subsidiary), in one transaction or a series of transactions, of all or any part of the Company’s or any of its Subsidiaries’ businesses, assets or properties of any kind, whether real, personal, or mixed and whether tangible or intangible, whether now owned or hereafter acquired, including the Capital Stock of any of the Company’s Subsidiaries, other than (i) inventory sold or leased in the ordinary course of business (excluding any such sales by operations or divisions discontinued or to be discontinued), (ii) equipment that is surplus, obsolete, worn-out, or no longer used or useful in the business of the Company or any of its Subsidiaries and is sold or disposed of in the ordinary course of business, (iii) leasehold interests that are no longer used or useful in the business of the Company or any of its Subsidiaries, (iv) dispositions of equipment used in the ordinary course of business, so long as such equipment is replaced, substantially concurrently, by like-kind equipment used or useful in the Facilities of the Company and its Subsidiaries, (v) Cash and Cash Equivalents used in a manner not prohibited by the Credit Documents or the Revolving Credit Documents, and (vi) sales of other assets for aggregate consideration of less than $2,000,000 with respect to any transaction or series of related transactions and less than $10,000,000 in the aggregate during any calendar year (provided, that for purposes of calculating the amounts set forth in this clause (vi), any transactions or series of related transactions involving aggregate consideration of $250,000 or less may be excluded).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agreement entered into by a Lender and an assignee (with the consent of any party whose consent is required by Section 10.6), and accepted by the Administrative Agent, in the form of Exhibit E or any other form approved by the Administrative Agent.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Indebtedness</w:t>
      </w:r>
      <w:r>
        <w:rPr>
          <w:rFonts w:ascii="Times New Roman" w:cs="Times New Roman" w:eastAsia="Times New Roman" w:hAnsi="Times New Roman"/>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means, as applied to any Person, any individual holding the position of chairman of the board (if an officer), chief executive officer, president or one of its vice presidents (or the equivalent thereof), and such Person’s chief financial officer or treasurer.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an amount equal to, without duplication:</w:t>
      </w:r>
    </w:p>
    <w:p>
      <w:pPr>
        <w:spacing w:after="0" w:line="229" w:lineRule="exact"/>
        <w:rPr>
          <w:sz w:val="20"/>
          <w:szCs w:val="20"/>
          <w:color w:val="auto"/>
        </w:rPr>
      </w:pPr>
    </w:p>
    <w:p>
      <w:pPr>
        <w:ind w:left="1900" w:hanging="596"/>
        <w:spacing w:after="0"/>
        <w:tabs>
          <w:tab w:leader="none" w:pos="1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plus</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Excess Cash Flow; plus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1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capital contributions to or other proceeds of any issuance of Capital Stock (other than Disqualified Capital Stock and other than any amounts received from the Company or any Subsidiary) received by the Company or any of its Subsidiaries, plus the fair market value (as determined by the Company in good faith) of Cash Equivalents, marketable securities or other property received by the Company or any Subsidiary as a capital contribution or in return for any issuance of Capital Stock (other than Disqualified Capital Stock and any amounts received from the Company or any Subsidiary), in each case, during the period from and including the day immediately following the Closing Date through and including such time; plus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jc w:val="both"/>
        <w:ind w:left="660" w:firstLine="1292"/>
        <w:spacing w:after="0" w:line="255" w:lineRule="auto"/>
        <w:tabs>
          <w:tab w:leader="none" w:pos="26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Capital Stock, in each case, of the Company or any Subsidiary issued after the Closing Date (other than Indebtedness or such Disqualified Capital Stock issued to the Company or any Subsidiary), which has been converted into or exchanged for Capital Stock of the Company or any Subsidiary that does not constitute Disqualified Capital Stock, together with the fair market value of any cash or Cash Equivalents (as determined by the Company in good faith) and the fair market value (as determined by the Company in good faith) of any property or assets received by the Company or such Subsidiary upon such exchange or conversion, in each case, during the period from and including the day immediately following the Closing Date through and including such time; plus</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received by the Company or any Subsidiary during the period from and including the day immediately following the Closing Date through and including such time in connection with the Disposition to any Person (other than the Company or any Subsidiary) of any Investment made pursuant to Section 6.7(m) in an amount, together with amounts added pursuant to clause (vi) below, not to exceed the original Investment; plus</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reflected as a return of capital with respect to such Investment for purposes of determining the amount of such Investment, the proceeds received by the Company or any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pursuant to Section 6.7(m) in an amount, together with amounts added pursuant to clauses (v), not to exceed the original Investment; plus</w:t>
      </w:r>
    </w:p>
    <w:p>
      <w:pPr>
        <w:spacing w:after="0" w:line="183"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Declined Proceeds; minus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any Restricted Payment made pursuant to Section 6.5(f), any Investment made pursuant to Section 6.7(m) or any prepayment, repurchase or redemption of Other Debt made pursuant to Section 6.16 during the period from and including the day immediately following the Closing Date through and including such time.</w:t>
      </w:r>
    </w:p>
    <w:p>
      <w:pPr>
        <w:spacing w:after="0" w:line="17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Excess Cash Flow</w:t>
      </w:r>
      <w:r>
        <w:rPr>
          <w:rFonts w:ascii="Times New Roman" w:cs="Times New Roman" w:eastAsia="Times New Roman" w:hAnsi="Times New Roman"/>
          <w:sz w:val="18"/>
          <w:szCs w:val="18"/>
          <w:color w:val="auto"/>
        </w:rPr>
        <w:t>” means, with respect to the Available Amount, the amount, determined on a cumulative basis, of Consolidated Excess Cash Flow for each Fiscal Year of the Company (commencing with the Fiscal Year ending December 31, 2022) that is not required to be applied in accordance with Section 2.13(d) (without giving effect to any deduction to such amount for Voluntary Term Loan Prepayments and excluding any amount of Consolidated Excess Cash Flow that is not required to be applied to prepay the Term Loans due to the application of the proviso set forth in Section 2.13(d)).</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the Agreed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pursuant to clause (vi) of Section 2.17(a).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with respect to any Term Benchmark Loan,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(ii) of Section 2.17(a).</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1920" w:hanging="616"/>
        <w:spacing w:after="0"/>
        <w:tabs>
          <w:tab w:leader="none" w:pos="1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Agreed Currency at such time in the United States and (b) the related Benchmark Replacement Adjustment.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Credit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Agreed Currency at such time.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Credit Documents).</w:t>
      </w:r>
    </w:p>
    <w:p>
      <w:pPr>
        <w:spacing w:after="0" w:line="18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59" w:lineRule="exact"/>
        <w:rPr>
          <w:sz w:val="20"/>
          <w:szCs w:val="20"/>
          <w:color w:val="auto"/>
        </w:rPr>
      </w:pPr>
    </w:p>
    <w:p>
      <w:pPr>
        <w:jc w:val="both"/>
        <w:ind w:firstLine="1304"/>
        <w:spacing w:after="0" w:line="266" w:lineRule="auto"/>
        <w:tabs>
          <w:tab w:leader="none" w:pos="19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59" w:lineRule="exact"/>
        <w:rPr>
          <w:sz w:val="20"/>
          <w:szCs w:val="20"/>
          <w:color w:val="auto"/>
        </w:rPr>
      </w:pPr>
    </w:p>
    <w:p>
      <w:pPr>
        <w:jc w:val="both"/>
        <w:ind w:firstLine="1304"/>
        <w:spacing w:after="0" w:line="261" w:lineRule="auto"/>
        <w:tabs>
          <w:tab w:leader="none" w:pos="20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2.17 and (y) ending at the time that a Benchmark Replacement has replaced such then-current Benchmark for all purposes hereunder and under any Credit Document in accordance with Section 2.17.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means each Agent and Lender.</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assigned to that term in the preamble hereto.</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Restricted Information</w:t>
      </w:r>
      <w:r>
        <w:rPr>
          <w:rFonts w:ascii="Times New Roman" w:cs="Times New Roman" w:eastAsia="Times New Roman" w:hAnsi="Times New Roman"/>
          <w:sz w:val="18"/>
          <w:szCs w:val="18"/>
          <w:color w:val="auto"/>
        </w:rPr>
        <w:t>” means confidential information, including MNPI, that is made available by or on behalf of the Borrower to Agent, any Lender or any potential Lender that has not been made available to all Lenders and potential Lenders.</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a Sunday ) on which banks are open for business in New York City; provided that, in addition to the foregoing, a Business Day shall be (a) in relation to RFR Loans (if any, as provided in Section 2.7(a) (i ii) ) and any interest rate settings, fundings, disbursements, settlements or payments of any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Anti-Money Laundering &amp; Anti-Terrorism Legislation</w:t>
      </w:r>
      <w:r>
        <w:rPr>
          <w:rFonts w:ascii="Times New Roman" w:cs="Times New Roman" w:eastAsia="Times New Roman" w:hAnsi="Times New Roman"/>
          <w:sz w:val="18"/>
          <w:szCs w:val="18"/>
          <w:color w:val="auto"/>
        </w:rPr>
        <w:t xml:space="preserve">” means, collectively,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R.S.C. 1985, c. C-46,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S.C. 2000, c. 17 and the</w:t>
      </w:r>
      <w:r>
        <w:rPr>
          <w:rFonts w:ascii="Times New Roman" w:cs="Times New Roman" w:eastAsia="Times New Roman" w:hAnsi="Times New Roman"/>
          <w:sz w:val="18"/>
          <w:szCs w:val="18"/>
          <w:i w:val="1"/>
          <w:iCs w:val="1"/>
          <w:color w:val="auto"/>
        </w:rPr>
        <w:t xml:space="preserve"> United Nations Act</w:t>
      </w:r>
      <w:r>
        <w:rPr>
          <w:rFonts w:ascii="Times New Roman" w:cs="Times New Roman" w:eastAsia="Times New Roman" w:hAnsi="Times New Roman"/>
          <w:sz w:val="18"/>
          <w:szCs w:val="18"/>
          <w:color w:val="auto"/>
        </w:rPr>
        <w:t>, R.S.C. 1985, c. U-2 or any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Canadian legislation, together with all rules, regulations and interpretations thereunder or related thereto including, without limitation, the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Implementing the United Nations Resolutions on the Suppression of Terrorism and the United Nations Al Qaida and Taliban Regulations promulgated under the United Nations Act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Blocked Person</w:t>
      </w:r>
      <w:r>
        <w:rPr>
          <w:rFonts w:ascii="Times New Roman" w:cs="Times New Roman" w:eastAsia="Times New Roman" w:hAnsi="Times New Roman"/>
          <w:sz w:val="18"/>
          <w:szCs w:val="18"/>
          <w:color w:val="auto"/>
        </w:rPr>
        <w:t>” means any Person that is a “designated person”, “politically exposed foreign person” or “terrorist group” as described in any Canadian Economic Sanctions and Export Control Laws.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Defined Benefit Plan</w:t>
      </w:r>
      <w:r>
        <w:rPr>
          <w:rFonts w:ascii="Times New Roman" w:cs="Times New Roman" w:eastAsia="Times New Roman" w:hAnsi="Times New Roman"/>
          <w:sz w:val="18"/>
          <w:szCs w:val="18"/>
          <w:color w:val="auto"/>
        </w:rPr>
        <w:t xml:space="preserve">” means a pension plan for the purposes of any applicable pension benefits standards statute or regulation in Canada, which contains a “defined benefit provision,” as defined in subsection 147.1(1)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Economic Sanctions and Export Control Laws</w:t>
      </w:r>
      <w:r>
        <w:rPr>
          <w:rFonts w:ascii="Times New Roman" w:cs="Times New Roman" w:eastAsia="Times New Roman" w:hAnsi="Times New Roman"/>
          <w:sz w:val="18"/>
          <w:szCs w:val="18"/>
          <w:color w:val="auto"/>
        </w:rPr>
        <w:t xml:space="preserve">” means any Canadian laws, regulations or orders governing transactions in controlled goods or technologies or dealings with countries, entities, organizations, or individuals subject to economic sanctions and similar measures, including the </w:t>
      </w:r>
      <w:r>
        <w:rPr>
          <w:rFonts w:ascii="Times New Roman" w:cs="Times New Roman" w:eastAsia="Times New Roman" w:hAnsi="Times New Roman"/>
          <w:sz w:val="18"/>
          <w:szCs w:val="18"/>
          <w:i w:val="1"/>
          <w:iCs w:val="1"/>
          <w:color w:val="auto"/>
        </w:rPr>
        <w:t>Special Economic Measures Act</w:t>
      </w:r>
      <w:r>
        <w:rPr>
          <w:rFonts w:ascii="Times New Roman" w:cs="Times New Roman" w:eastAsia="Times New Roman" w:hAnsi="Times New Roman"/>
          <w:sz w:val="18"/>
          <w:szCs w:val="18"/>
          <w:color w:val="auto"/>
        </w:rPr>
        <w:t xml:space="preserve"> (Canada), the United Nations Act (Canada), the </w:t>
      </w:r>
      <w:r>
        <w:rPr>
          <w:rFonts w:ascii="Times New Roman" w:cs="Times New Roman" w:eastAsia="Times New Roman" w:hAnsi="Times New Roman"/>
          <w:sz w:val="18"/>
          <w:szCs w:val="18"/>
          <w:i w:val="1"/>
          <w:iCs w:val="1"/>
          <w:color w:val="auto"/>
        </w:rPr>
        <w:t>Freezing Assets of Corrupt Foreign Officials Act</w:t>
      </w:r>
      <w:r>
        <w:rPr>
          <w:rFonts w:ascii="Times New Roman" w:cs="Times New Roman" w:eastAsia="Times New Roman" w:hAnsi="Times New Roman"/>
          <w:sz w:val="18"/>
          <w:szCs w:val="18"/>
          <w:color w:val="auto"/>
        </w:rPr>
        <w:t xml:space="preserve"> (Canada), Part II.1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Export and Import Permits Act</w:t>
      </w:r>
      <w:r>
        <w:rPr>
          <w:rFonts w:ascii="Times New Roman" w:cs="Times New Roman" w:eastAsia="Times New Roman" w:hAnsi="Times New Roman"/>
          <w:sz w:val="18"/>
          <w:szCs w:val="18"/>
          <w:color w:val="auto"/>
        </w:rPr>
        <w:t xml:space="preserve"> (Canada), and any related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Guarantee</w:t>
      </w:r>
      <w:r>
        <w:rPr>
          <w:rFonts w:ascii="Times New Roman" w:cs="Times New Roman" w:eastAsia="Times New Roman" w:hAnsi="Times New Roman"/>
          <w:sz w:val="18"/>
          <w:szCs w:val="18"/>
          <w:color w:val="auto"/>
        </w:rPr>
        <w:t>” means, collectively, (a) the Guaranty, and (b) the guarantee dated the date hereof governed by the laws of the Province of Ontario made by the Canadian Loan Parties in favor of the Administrative Agent.</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Loan Parties</w:t>
      </w:r>
      <w:r>
        <w:rPr>
          <w:rFonts w:ascii="Times New Roman" w:cs="Times New Roman" w:eastAsia="Times New Roman" w:hAnsi="Times New Roman"/>
          <w:sz w:val="18"/>
          <w:szCs w:val="18"/>
          <w:color w:val="auto"/>
        </w:rPr>
        <w:t>” means, collectively, Sunblaster Holdings ULC, an unlimited liability corporation existing under the laws of the Province of British Columbia, Eddi’s Wholesale Garden Supplies Ltd., a corporation existing under the laws of the Province of British Columbia, Aurora Peat Products ULC, an unlimited liability corporation existing under the laws of the Province of Alberta, Greenstar Plant Products Inc., a federal corporation organized under the laws of Canada, and any other Person organized under applicable law of Canada or any province of Canada that becomes a party to this Agreement pursuant to a joinder agreement and their successors and assigns, and the term “</w:t>
      </w:r>
      <w:r>
        <w:rPr>
          <w:rFonts w:ascii="Times New Roman" w:cs="Times New Roman" w:eastAsia="Times New Roman" w:hAnsi="Times New Roman"/>
          <w:sz w:val="18"/>
          <w:szCs w:val="18"/>
          <w:b w:val="1"/>
          <w:bCs w:val="1"/>
          <w:color w:val="auto"/>
        </w:rPr>
        <w:t>Canadian Loan Party</w:t>
      </w:r>
      <w:r>
        <w:rPr>
          <w:rFonts w:ascii="Times New Roman" w:cs="Times New Roman" w:eastAsia="Times New Roman" w:hAnsi="Times New Roman"/>
          <w:sz w:val="18"/>
          <w:szCs w:val="18"/>
          <w:color w:val="auto"/>
        </w:rPr>
        <w:t>” means any one of them or all of them individually, as the context may require.</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Pension Event</w:t>
      </w:r>
      <w:r>
        <w:rPr>
          <w:rFonts w:ascii="Times New Roman" w:cs="Times New Roman" w:eastAsia="Times New Roman" w:hAnsi="Times New Roman"/>
          <w:sz w:val="18"/>
          <w:szCs w:val="18"/>
          <w:color w:val="auto"/>
        </w:rPr>
        <w:t>” means (a) the whole or partial withdrawal of a Canadian Loan Party or another Credit Party from a Canadian Pension Plan during a plan year; or (b) the filing of a notice of intent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constitute grounds for the termination of, winding up or partial termination of winding up or the appointment of trustee to administer, any Canadian Pension Plan.</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Pension Plan</w:t>
      </w:r>
      <w:r>
        <w:rPr>
          <w:rFonts w:ascii="Times New Roman" w:cs="Times New Roman" w:eastAsia="Times New Roman" w:hAnsi="Times New Roman"/>
          <w:sz w:val="18"/>
          <w:szCs w:val="18"/>
          <w:color w:val="auto"/>
        </w:rPr>
        <w:t>” means each pension plan required to be registered under Canadian federal or provincial law that is administered or contributed to by a Credit Party or any Subsidiary of any Credit Party for its employees or former employees, but does not include the Canada Pension Plan or the Quebec Pension Plan as maintained by the Government of Canada or the Province of Quebec, respectively.</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Security Agreement</w:t>
      </w:r>
      <w:r>
        <w:rPr>
          <w:rFonts w:ascii="Times New Roman" w:cs="Times New Roman" w:eastAsia="Times New Roman" w:hAnsi="Times New Roman"/>
          <w:sz w:val="18"/>
          <w:szCs w:val="18"/>
          <w:color w:val="auto"/>
        </w:rPr>
        <w:t>” means, collectively, that certain Canadian Pledge and Security Agreement (including any and all supplements thereto), dated as of the date hereof, among the Canadian Loan Parties party thereto and the Administrative Agent, for the benefit of the Administrative Agent and the other Secured Parties, as the same may be amended, restated, supplemented or otherwise modified from time to time, together with the Quebec Security Documents, to the extent applicable.</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as applied to any Person, any lease of any property (whether real, personal or mixed) by that Person as lessee that, in conformity with GAAP, is or should be accounted for as a capital lease on the balance sheet of that Person.</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demand or deposit account.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in each case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A-1 from S&amp;P or at least P-1 from Moody’s; (iii) commercial paper maturing no more than one year from the date of creation thereof and having, at the time of the acquisition thereof, a rating of at least A-1 from S&amp;P or at least P-1 from Moody’s; (iv) certificates of deposit, time deposits or bankers’ acceptances maturing within one year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$100,000,000; and (v) shares of any money market mutual fund that (a) has substantially all of its assets invested continuously in the types of investments referred to in clauses (i) and (ii) above, (b) has net assets of not less than $500,000,000, and (c) has the highest rating obtainable from either S&amp;P or Moody’s.</w:t>
      </w:r>
    </w:p>
    <w:p>
      <w:pPr>
        <w:spacing w:after="0" w:line="19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at any time, any Person or “group” (within the meaning of Rules 13d-3 and 13d-5 under the Exchange Act) beneficially owns, directly or indirectly, more than 35%, on a fully diluted basis, of the outstanding Capital Stock (measured only by voting power) of the Company entitled (without regard to the occurrence of any contingency) to vote for the election of members of the board of directors (or similar governing body) of the Company.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the occurrence, after the Closing Date (or with respect to any Lender, if later, the date on which such Lender becomes a Lender), of any of the following (a) the adoption of any law, rule, regulation or treaty, (b) any change in any law, rule, regulation or treaty or in the interpretation or application thereof by any Governmental Authority or (c) compliance by any Lender (or, for purposes of Section 2.18(b), by any lending office of such Lender or by such Lender’s holding company, if any) with any request, guideline or directive (whether or not having the force of law) of any Governmental Authority made or issued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requests, rules, guidelines or directives thereunder or issued in connection therewith shall be deemed to be a “Change in Law” regardless of the date enacted, adopted, issued or implemented and (ii)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shall be deemed to be a “Change in Law” regardless of the date enacted, adopted, issued or implemented.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October 25, 2021.</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collectively, all of the real, personal and mixed property (including Capital Stock) in which Liens are purported to be granted pursuant to the Collateral Documents as security for the Obligations.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JPMorgan Chase 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auto"/>
        </w:rPr>
        <w:t xml:space="preserve"> in its capacity as collateral agent for the Lenders and other Secured Parties under the Collateral Documents and under the other Credit Documents.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each Security Agreement, the Mortgages (if any), the Intercreditor Agreement and all other instruments, documents and agreements delivered by any Credit Party pursuant to this Agreement or any of the other Credit Documents in order to grant to Collateral Agent, for the benefit of Lenders, a Lien on any real, personal or mixed property of that Credit Party as security for the Obligations (or to perfect any Liens so granted).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any Term Loan Commitment and Additional Term Loan Commitment.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assigned to that term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Compliance Certificate substantially in the form of 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xml:space="preserve">” means, for any period, an amount determined for the Company and its Subsidiaries on a consolidated basis equal to the total of (a) Consolidated Net Income, plus (b) the sum, without duplication, of each of the following to the extent deducted (or, in the case of any cost synergies pursuant to clause (ix), not included) in the calculation of Consolidated Net Income for such period (i) Consolidated Interest Expense and non-Cash interest expense, (ii) provisions for taxes based on income, (iii) total depreciation expense, (iv) total amortization expense (including amortization of goodwill, other intangibles, and financing fees and expenses), (v) non-cash impairment charges, (vi) non-cash expenses resulting from the grant of stock and stock options and other compensation to management personnel of the Company and its Subsidiaries pursuant to a written incentive plan or agreement, (vii) other non-Cash items that are unusual or otherwise non-recurring items, (viii) any extraordinary losses and non-recurring charges during any period (including severance, relocation costs, one-time compensation charges and losses or charges associated with Interest Rate Agreements), (ix) restructuring charges or reserves (including costs related to closure of Facilities) and cost synergies projected by the Company in good faith to be realized during such period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synergies had been realized during the entirety of the applicable period) as a result of actions taken or to be taken in connection with any Permitted Acquisition by the Company or any Subsidiary, net of the amount of actual benefits realized during such period that are otherwise included in the calculation of Consolidated Adjusted EBITDA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(A)(x) such cost synergies are reasonably expected and factually supportable as determined in good faith by the Company and (y) such actions are to be taken and the results with respect thereto are to be achieved within 24 months after the consummation of the Permitted Acquisition which is expected to result in such cost synergies, (B) no cost synergies shall be added pursuant to this clause (ix) to the extent duplicative of any expenses or charges otherwise added to Consolidated Adjusted EBITDA, whether through a pro forma adjustment or otherwise, for such period and (C) the aggregate amount of restructuring charges and reserves and cost synergies added pursuant to this clause (ix) for such period shall not exceed 20% of Consolidated Adjusted EBITDA for such period (calculated without giving effect to any adjustments made pursuant to this clause (ix)), (x) any transaction costs incurred in connection with the issuance, resale or secondary offering of Securities or any refinancing transaction, in each case whether or not such transaction is consummated and (xi) any fees and expensed related to any Permitted Acquisitions,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sum, without duplication, of (i) non-Cash items increasing Consolidated Net Income for such period that are unusual or otherwise non-recurring items, and (ii) cash payments made during such period reducing reserves or liabilities for accruals made in prior periods but only to the extent such reserves or accruals were added back to “Consolidated Adjusted EBITDA” in a prior period pursuant to clause (b)(vii) above.</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Capital Expenditures</w:t>
      </w:r>
      <w:r>
        <w:rPr>
          <w:rFonts w:ascii="Times New Roman" w:cs="Times New Roman" w:eastAsia="Times New Roman" w:hAnsi="Times New Roman"/>
          <w:sz w:val="18"/>
          <w:szCs w:val="18"/>
          <w:color w:val="auto"/>
        </w:rPr>
        <w:t>” means, for any period, the aggregate of all expenditures of the Company and its Subsidiaries during such period determined on a consolidated basis that, in accordance with GAAP, are or should be included in “purchase of property and equipment” or similar items reflected in the consolidated statement of cash flows of the Company and its Subsidiaries, but excluding expenditures constituting the purchase price for Permitted Acquisitions and amounts constituting Net Asset Sale Proceeds and Net Insurance/Condemnation Proceeds which are reinvested in the business of the Company and its Subsidiaries in accordance with Section 2.13(a) or Section 2.13(b), respectively, by the Company and its Subsidiaries during such period.</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as at any date of determination, the total assets of the Company and its Subsidiaries on a consolidated basis that may properly be classified as current assets in conformity with GAAP, excluding Cash and Cash Equivalents.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as at any date of determination, the total liabilities of the Company and its Subsidiaries on a consolidated basis that may properly be classified as current liabilities in conformity with GAAP, excluding the current portion of long term debt (calculated, for the avoidance of doubt, with respect to any lease obligations in a manner consistent with Section 1.2(b)(ii)).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Excess Cash Flow</w:t>
      </w:r>
      <w:r>
        <w:rPr>
          <w:rFonts w:ascii="Times New Roman" w:cs="Times New Roman" w:eastAsia="Times New Roman" w:hAnsi="Times New Roman"/>
          <w:sz w:val="18"/>
          <w:szCs w:val="18"/>
          <w:color w:val="auto"/>
        </w:rPr>
        <w:t xml:space="preserve">” means, for any period, an amount (if positive) equal to: (i) the sum, without duplication, of the amounts for such period of (a) Consolidated Adjusted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Consolidated Working Capital Adjustment,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sum, without duplication, of the amounts for such period of (a) voluntary and scheduled repayments of Consolidated Total Debt (excluding (x) voluntary repayments financed with Indebtedness, (y) payments and repayments of Indebtedness under the Revolving Credit Facility (except to the extent there is an equivalent permanent reduction in commitments thereunder) or any other working capital facility and (z) voluntary repayments of Term Loans), (b) cash Consolidated Capital Expenditures (net of any proceeds of (y) any related financings with respect to such expenditures and (z) to the extent not excluded in the calculation of Consolidated Capital Expenditures, any sales of capital assets used to finance such expenditures), (c) Consolidated Interest Expense paid in cash for such period, (d) the portion of taxes based on income actually paid in cash during such period by the Company or any of its Subsidiaries whether for such period or any other period, (e) Restricted Payments made under Section 6.5(c) during such period, (f) Restricted Payments or Investments made under Section 6.5(d), 6.5(e) and Section 6.7(l), as applicable, and (g) in respect of any given Fiscal Year, the cash portion of the purchase price (including without limitation, earnout payments paid in cash) of a Permitted Acquisition or other acquisition consummated simultaneously with or prior to the Closing Date paid during such Fiscal Year (net of any proceeds of (x) any related financings with respect to such purchase price and (y) any sales of capital assets used to finance such purchase price). Consolidated Excess Cash Flow shall not be reduced by the amount of any Credit Party Purchase.</w:t>
      </w:r>
    </w:p>
    <w:p>
      <w:pPr>
        <w:spacing w:after="0" w:line="18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Debt</w:t>
      </w:r>
      <w:r>
        <w:rPr>
          <w:rFonts w:ascii="Times New Roman" w:cs="Times New Roman" w:eastAsia="Times New Roman" w:hAnsi="Times New Roman"/>
          <w:sz w:val="18"/>
          <w:szCs w:val="18"/>
          <w:color w:val="auto"/>
        </w:rPr>
        <w:t>” means, as at any date of determination, the Consolidated Total Debt of the Company and its Subsidiaries that is secured by first priority Liens on any of the assets of the Company or any of its Subsidiaries.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means, for any period, (i) total interest expense (including that portion attributable to Capital Leases in accordance with GAAP and capitalized interest) payable in cash of the Company and its Subsidiaries (but excluding fees and any original issue discount in connection with this Agreement and the Revolving Credit Documents) on a consolidated basis with respect to all outstanding Indebtedness of the Company and its Subsidiaries, including all commissions, discounts and other fees and charges owed with respect to letters of credit and net costs under Interest Rate Agreements,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amount of interest income of the Company and its Subsidiaries during such period paid in cash.</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for any period, (i) the net income (or loss) of the Company and its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the income (or loss) of any Person (other than a Subsidiary of the Company) in which any other Person (other than the Company or any of its Subsidiaries) has a joint interest, except to the extent of the amount of dividends or other distributions actually paid to the Company or any of its Subsidiaries by such Person during such period, (b) the income (or loss) of any Person accrued prior to the date it becomes a Subsidiary of the Company or is merged into or consolidated with the Company or any of its Subsidiaries or that Person’s assets are acquired by the Company or any of its Subsidiaries, (c) the income of any Subsidiary of the Company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(d) any after-tax gains or losses attributable to Asset Sales or returned surplus assets of any Pension Plan, and (e) (to the extent not included in clauses (a) through (d) above) any net extraordinary gains or net extraordinary losses. Consolidated Net Income shall not be increased as a result of any cancellation of indebtedness income realized as a result of any Credit Party Purchase.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means, as at any date of determination, the Consolidated Total Debt of the Company and its Subsidiaries that is secured by Liens on any of the assets of the Company or any of its Subsidiaries.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at any date of determination, the aggregate stated balance sheet amount of all Indebtedness of the Company and its Subsidiaries determined on a consolidated basis, without duplication,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 other provision of this Agreement for all purposes hereof and all calculations required to be made hereunder the amount of Indebtedness included in Consolidated Total Debt shall be deemed to be 100% of the outstanding principal amount thereof.</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at any date of determination, the excess of Consolidated Current Assets over Consolidated Current Liabilities.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 Adjustment</w:t>
      </w:r>
      <w:r>
        <w:rPr>
          <w:rFonts w:ascii="Times New Roman" w:cs="Times New Roman" w:eastAsia="Times New Roman" w:hAnsi="Times New Roman"/>
          <w:sz w:val="18"/>
          <w:szCs w:val="18"/>
          <w:color w:val="auto"/>
        </w:rPr>
        <w:t>” means, for any period on a consolidated basis, the amount (which may be a negative number) by which Consolidated Working Capital as of the beginning of such period exceeds (or is less than) Consolidated Working Capital as of the end of such period.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applied to any Person, any provision of any indenture, mortgage, deed of trust, or other contract, undertaking, agreement or other instrument to which that Person is a party or to which such Person or any of its properties is subject.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Contributing Guarantors</w:t>
      </w:r>
      <w:r>
        <w:rPr>
          <w:rFonts w:ascii="Times New Roman" w:cs="Times New Roman" w:eastAsia="Times New Roman" w:hAnsi="Times New Roman"/>
          <w:sz w:val="18"/>
          <w:szCs w:val="18"/>
          <w:color w:val="auto"/>
        </w:rPr>
        <w:t>” has the meaning assigned to that term in Section 7.2.</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Conversion/Continuation Date</w:t>
      </w:r>
      <w:r>
        <w:rPr>
          <w:rFonts w:ascii="Times New Roman" w:cs="Times New Roman" w:eastAsia="Times New Roman" w:hAnsi="Times New Roman"/>
          <w:sz w:val="18"/>
          <w:szCs w:val="18"/>
          <w:color w:val="auto"/>
        </w:rPr>
        <w:t>” means the effective date of a continuation or conversion, as the case may be, as set forth in the applicable Conversion/Continuation Notice.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Conversion/Continuation Notice</w:t>
      </w:r>
      <w:r>
        <w:rPr>
          <w:rFonts w:ascii="Times New Roman" w:cs="Times New Roman" w:eastAsia="Times New Roman" w:hAnsi="Times New Roman"/>
          <w:sz w:val="18"/>
          <w:szCs w:val="18"/>
          <w:color w:val="auto"/>
        </w:rPr>
        <w:t>” means a Conversion/Continuation Notice substantially in the form of Exhibit A-2.</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 Agreement</w:t>
      </w:r>
      <w:r>
        <w:rPr>
          <w:rFonts w:ascii="Times New Roman" w:cs="Times New Roman" w:eastAsia="Times New Roman" w:hAnsi="Times New Roman"/>
          <w:sz w:val="18"/>
          <w:szCs w:val="18"/>
          <w:color w:val="auto"/>
        </w:rPr>
        <w:t>” means a Counterpart Agreement substantially in the form of Exhibit H delivered by a Credit Party pursuant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5.10.</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2520" w:hanging="568"/>
        <w:spacing w:after="0"/>
        <w:tabs>
          <w:tab w:leader="none" w:pos="2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5540" w:right="1540" w:hanging="3588"/>
        <w:spacing w:after="0" w:line="532" w:lineRule="auto"/>
        <w:tabs>
          <w:tab w:leader="none" w:pos="25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has the meaning assigned to that term in Section 10.28.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Date</w:t>
      </w:r>
      <w:r>
        <w:rPr>
          <w:rFonts w:ascii="Times New Roman" w:cs="Times New Roman" w:eastAsia="Times New Roman" w:hAnsi="Times New Roman"/>
          <w:sz w:val="18"/>
          <w:szCs w:val="18"/>
          <w:color w:val="auto"/>
        </w:rPr>
        <w:t>” means the date of a Credit Extension.</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Document</w:t>
      </w:r>
      <w:r>
        <w:rPr>
          <w:rFonts w:ascii="Times New Roman" w:cs="Times New Roman" w:eastAsia="Times New Roman" w:hAnsi="Times New Roman"/>
          <w:sz w:val="18"/>
          <w:szCs w:val="18"/>
          <w:color w:val="auto"/>
        </w:rPr>
        <w:t>” means any of this Agreement, the Notes, if any, the Collateral Documents, any other intercreditor agreements (if applicable) and all other amendments, documents, instruments or agreements executed and delivered by a Credit Party for the benefit of any Agent or any Lender in connection herewith.</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the making of a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each Person (other than any Agent or any Lender or any other representative thereof) from time to time party to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Document.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 Purchase</w:t>
      </w:r>
      <w:r>
        <w:rPr>
          <w:rFonts w:ascii="Times New Roman" w:cs="Times New Roman" w:eastAsia="Times New Roman" w:hAnsi="Times New Roman"/>
          <w:sz w:val="18"/>
          <w:szCs w:val="18"/>
          <w:color w:val="auto"/>
        </w:rPr>
        <w:t>” has the meaning assigned to that term in Section 10.6(i).</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 Agreement</w:t>
      </w:r>
      <w:r>
        <w:rPr>
          <w:rFonts w:ascii="Times New Roman" w:cs="Times New Roman" w:eastAsia="Times New Roman" w:hAnsi="Times New Roman"/>
          <w:sz w:val="18"/>
          <w:szCs w:val="18"/>
          <w:color w:val="auto"/>
        </w:rPr>
        <w:t>” means any foreign exchange contract, currency swap agreement, futures contract, option contract, synthetic cap or other similar agreement or arrangement, each of which is for the purpose of hedging the foreign currency risk associated with the Company’s and its Subsidiaries’ operations and not for speculative purposes.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day(a “SOFR Rate Day”),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xml:space="preserve">” means the Bankruptcy Code, </w:t>
      </w:r>
      <w:r>
        <w:rPr>
          <w:rFonts w:ascii="Times New Roman" w:cs="Times New Roman" w:eastAsia="Times New Roman" w:hAnsi="Times New Roman"/>
          <w:sz w:val="18"/>
          <w:szCs w:val="18"/>
          <w:i w:val="1"/>
          <w:iCs w:val="1"/>
          <w:color w:val="auto"/>
        </w:rPr>
        <w:t>the Bankruptcy and Insolvency Act</w:t>
      </w:r>
      <w:r>
        <w:rPr>
          <w:rFonts w:ascii="Times New Roman" w:cs="Times New Roman" w:eastAsia="Times New Roman" w:hAnsi="Times New Roman"/>
          <w:sz w:val="18"/>
          <w:szCs w:val="18"/>
          <w:color w:val="auto"/>
        </w:rPr>
        <w:t xml:space="preserve">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“Declining Lender</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 condition or event that, after notice or lapse of time or both, would constitute an Event of Default.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means with respect to any Person, (a) Capital Stock of such Person that, by its terms or by the terms of any security into which it is convertible, exercisable or exchangeable, is, or upon the happening of an event or the passage of time or both would be, required to be redeemed or repurchased including at the option of the holder thereof by such Person or any of its Subsidiaries, in whole or in part, on or prior to 91 days following the Maturity Date and (b) any Capital Stock of any Subsidiary of such Person other than any common equity with no preferences, privileges, and no redemption or repayment provisions. Notwithstanding the foregoing, any Capital Stock of the Company that would constitute Disqualified Capital Stock solely because the holders thereof have the right to require the Company to repurchase such Capital Stock upon the occurrence of a change of control or an asset sale shall not constitute Disqualified Capital Stock if the terms of such Capital Stock provide that the Company may not repurchase or redeem any such Capital Stock pursuant to such provisions prior to the prepayment of the Loans as are required by this Agreement.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money of the United States of America.</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that is organized under the laws of the United States, any state thereof or the District of Columbia and any other Subsidiary that is not a “controlled foreign corporation” under Section 957 of the Internal Revenue Code.</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(i) any Lender, any Affiliate of any Lender and any Related Fund (any two or more Related Funds being treated as a single Eligible Assignee for all purposes hereof) and (ii) any commercial bank, insurance company, investment or mutual fund or other entity that is an “accredited investor” (as defined in Regulation D under the Securities Act) and which extends credit or buys loans as one of its businesses;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natural person and no Affiliate of the Company shall be an Eligible Assignee.</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which is or was sponsored, maintained or contributed to by, or required to be contributed by, the Company, any of its Subsidiaries or any of their respective ERISA Affiliates.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ind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investigation, written notice, written notice of violation, written claim, action, suit, proceeding, demand, abatement order or other written order or written directive (conditional or otherwise), by any Governmental Authority or any other Person, arising</w:t>
      </w:r>
    </w:p>
    <w:p>
      <w:pPr>
        <w:spacing w:after="0" w:line="1" w:lineRule="exact"/>
        <w:rPr>
          <w:sz w:val="20"/>
          <w:szCs w:val="20"/>
          <w:color w:val="auto"/>
        </w:rPr>
      </w:pPr>
    </w:p>
    <w:p>
      <w:pPr>
        <w:jc w:val="both"/>
        <w:ind w:firstLine="8"/>
        <w:spacing w:after="0" w:line="255"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or in connection with any actual or alleged violation of, or liability under or relating to,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current or future foreign or domestic, federal, state, provincial or territorial (or any subdivision of either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land use or the protection of the environment.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successor thereto.</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as applied to any Person, (i) any entity, whether or not incorporated, that is under common control within the meaning of Section 4001(a)(14) with that Person; (ii) any corporation which is a member of a controlled group of corporations within the meaning of Section 414(b) of the Internal Revenue Code of which that Person is a member; (iii) any trade or business (whether or not incorporated) which is a member of a group of trades or businesses under common control within the meaning of Section 414(c) of the Internal Revenue Code of which that Person is a member; and (iv) any member of an affiliated service group within the meaning of Section 414(m) or (o) of the Internal Revenue Code of which that Person, any corporation described in clause (ii) above or any trade or business described in clause (iii) above is a member.</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(i) a “reportable event” within the meaning of Section 4043(c) of ERISA and the regulations issued thereunder with respect to any Pension Plan (excluding those for which the provision for 30-day notice to the PBGC has been waived by regulation); (ii) the failure of the Company, any of its Subsidiaries, or any of their respective ERISA Affiliates to make by its due date a required installment under Section 430(j) of the Internal Revenue Code with respect to any Pension Plan, or the failure to meet the minimum funding standard of Section 412 of the Internal Revenue Code or Section 302 of ERISA with respect to any Pension Plan (whether or not waived in accordance with Section 412(c) of the Internal Revenue Code); (iii) the determination that any Pension Plan is, or is expected to be, in “at risk” status (within the meaning of Section 430 of the Internal Revenue Code or Section 303 of ERISA); (iv) the occurrence of any event or condition which might constitute grounds under ERISA for the termination of, or the appointment of a trustee to administer, any Pension Plan; (v) the provision by the administrator of any Pension Plan pursuant to Section 4041(a)(2) of ERISA of a notice of intent to terminate such plan in a distress termination described in Section 4041(c) of ERISA; (vi) the withdrawal by the Company, any of its Subsidiaries or any of their respective ERISA Affiliates from any Pension Plan with two or more contributing sponsors or the termination of any such Pension Plan resulting in liability to the Company, any of its Subsidiaries or any of their respective Affiliates pursuant to Section 4063 or 4064 of ERISA; (vii) the institution by the PBGC of proceedings to terminate any Pension Plan; (viii) the imposition, or the occurrence of any events or condition that could reasonably be expected to result in the imposition, of liability on the Company, any of its Subsidiaries or any of their respective ERISA Affiliates pursuant to Section 4062(e) or 4069 of ERISA or by reason of the application of Section 4212(c) of ERISA; (ix) the occurrence of an act or omission which could give rise to the imposition on the Company, any of its Subsidiaries or any of their respective ERISA Affiliates of fines, penalties, taxes or related charges under Chapter 43 of the Internal Revenue Code or under Section 409, Section 502(c), (i) or (l), or Section 4071 of ERISA in respect of any Employee Benefit Plan (which fines, penalties, taxes or related charges, for purposes of Section 4.19, shall be material); (x) the incurrence by the Company, any of its Subsidiaries or any of their respective ERISA Affiliates of any liability with respect to the withdrawal or partial withdrawal (within the meaning of Sections 4203 or 4205 of ERISA) from any Multiemployer Plan; (xi) the assertion of a material claim (other than routine claims for benefits) against any Employee Benefit Plan or the assets thereof, or against the Company, any of its Subsidiaries or any of their respective ERISA Affiliates in connection with any Employee Benefit Plan; (xii)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(xiii) the imposition of a Lien pursuant to Section 430(k) of the Internal Revenue Code or pursuant to ERISA with respect to any Pension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each of the conditions or events set forth in Section 8.1.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with respect to any payment made by any Credit Party under any Credit Document, any of the following Taxes imposed on or with respect to a Recipient: (a) income or franchise Taxes (however denominated) imposed on (or measured by)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Taxes imposed by any other jurisdiction in which the Lender’s applicable lending office is located, (c) in the case of a Non-U.S. Lender (other than an assignee pursuant to a request by the Company under Section 2.22), any U.S. Federal withholding Taxes resulting from any law in effect (including FATCA) on the date such Non-U.S. Lender becomes a party to this Agreement (or designates a new lending office) or is attributable to such Non-U.S. Lender’s failure to comply with Section 2.19(f), except to the extent that such Non-U.S. Lender (or its assignor, if any) was entitled, at the time of designation of a new lending office (or assignment), to receive additional amounts from the Company with respect to such withholding Taxes pursuant to Section 2.19(a), and</w:t>
      </w:r>
    </w:p>
    <w:p>
      <w:pPr>
        <w:spacing w:after="0" w:line="3" w:lineRule="exact"/>
        <w:rPr>
          <w:sz w:val="20"/>
          <w:szCs w:val="20"/>
          <w:color w:val="auto"/>
        </w:rPr>
      </w:pPr>
    </w:p>
    <w:p>
      <w:pPr>
        <w:jc w:val="both"/>
        <w:ind w:firstLine="8"/>
        <w:spacing w:after="0" w:line="255" w:lineRule="auto"/>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would not have been imposed but for a failure by any Recipient, or any legal or beneficial holder of an interest in any entity (other than an entity that is a U.S. Person) through which payments by or on account of any Credit Party are made under any Credit Document, to comply with any applicable reporting requirement if such compliance is required by FATCA as a precondition to relief or exemption from such Tax.</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operated or used by the Company or any of its Subsidiaries or any of their respective predecessors or Affiliates.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has the meaning assigned to that term in Section 7.2.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 Contribution Amount</w:t>
      </w:r>
      <w:r>
        <w:rPr>
          <w:rFonts w:ascii="Times New Roman" w:cs="Times New Roman" w:eastAsia="Times New Roman" w:hAnsi="Times New Roman"/>
          <w:sz w:val="18"/>
          <w:szCs w:val="18"/>
          <w:color w:val="auto"/>
        </w:rPr>
        <w:t>” has the meaning assigned to that term in Section 7.2.</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Closing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law, regulation, rule, promulgation, or official agreement implementing an official government agreement with respect to the foregoing.</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Bank of New York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Website</w:t>
      </w:r>
      <w:r>
        <w:rPr>
          <w:rFonts w:ascii="Times New Roman" w:cs="Times New Roman" w:eastAsia="Times New Roman" w:hAnsi="Times New Roman"/>
          <w:sz w:val="18"/>
          <w:szCs w:val="18"/>
          <w:color w:val="auto"/>
        </w:rPr>
        <w:t>” means the website of the NYFRB at or any successor source.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Plan</w:t>
      </w:r>
      <w:r>
        <w:rPr>
          <w:rFonts w:ascii="Times New Roman" w:cs="Times New Roman" w:eastAsia="Times New Roman" w:hAnsi="Times New Roman"/>
          <w:sz w:val="18"/>
          <w:szCs w:val="18"/>
          <w:color w:val="auto"/>
        </w:rPr>
        <w:t>” has the meaning assigned to that term in Section 5.1(i).</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Debt Ratio</w:t>
      </w:r>
      <w:r>
        <w:rPr>
          <w:rFonts w:ascii="Times New Roman" w:cs="Times New Roman" w:eastAsia="Times New Roman" w:hAnsi="Times New Roman"/>
          <w:sz w:val="18"/>
          <w:szCs w:val="18"/>
          <w:color w:val="auto"/>
        </w:rPr>
        <w:t>” means the ratio as of the date of determination of (i) Consolidated First Lien Debt, less unrestricted Cash and Cash Equivalents of the Company and its Subsidiaries as of such date to (ii) Consolidated Adjusted EBITDA for the Test Period.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Offer</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and its Subsidiaries ending on December 31 of each calendar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Hazard Property</w:t>
      </w:r>
      <w:r>
        <w:rPr>
          <w:rFonts w:ascii="Times New Roman" w:cs="Times New Roman" w:eastAsia="Times New Roman" w:hAnsi="Times New Roman"/>
          <w:sz w:val="18"/>
          <w:szCs w:val="18"/>
          <w:color w:val="auto"/>
        </w:rPr>
        <w:t>” means any Material Real Estate Asset subject to a mortgage in favor of the Collateral Agent, for the benefit of the Lenders, and located in an area designated by the Federal Emergency Management Agency as having special flood hazards.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benchmark rate floor, if any, provided in this Agreement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shall be 1.00%.</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direct or indirect Subsidiary of the Company which is not a Domestic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Guarantors</w:t>
      </w:r>
      <w:r>
        <w:rPr>
          <w:rFonts w:ascii="Times New Roman" w:cs="Times New Roman" w:eastAsia="Times New Roman" w:hAnsi="Times New Roman"/>
          <w:sz w:val="18"/>
          <w:szCs w:val="18"/>
          <w:color w:val="auto"/>
        </w:rPr>
        <w:t>” has the meaning assigned to that term in Section 7.2.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Notice</w:t>
      </w:r>
      <w:r>
        <w:rPr>
          <w:rFonts w:ascii="Times New Roman" w:cs="Times New Roman" w:eastAsia="Times New Roman" w:hAnsi="Times New Roman"/>
          <w:sz w:val="18"/>
          <w:szCs w:val="18"/>
          <w:color w:val="auto"/>
        </w:rPr>
        <w:t>” means a notice substantially in the form of Exhibit A-1.</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subject to the limitations on the application thereof set forth in Section 1.2, United States generally accepted accounting principles in effect as of the date of determination thereof.</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provincial, territorial,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Canada or a foreign entity or government.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has the meaning assigned to that term in Section 7.1.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each Guarantor Subsidiary.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 Subsidiary</w:t>
      </w:r>
      <w:r>
        <w:rPr>
          <w:rFonts w:ascii="Times New Roman" w:cs="Times New Roman" w:eastAsia="Times New Roman" w:hAnsi="Times New Roman"/>
          <w:sz w:val="18"/>
          <w:szCs w:val="18"/>
          <w:color w:val="auto"/>
        </w:rPr>
        <w:t>” means each Subsidiary of the Borrower party hereto on the date hereof, the Canadian Loan Parties, and any other Subsidiary of the Borrower from time to time party to this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means the guaranty of each Guarantor set forth in Section 7.</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waste or substance that is prohibited, limited or regulated by any Governmental Authority or Environmental Law or which can form the basis for liability under any Environmental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any past, current or threatened activity, event or occurrence involving any Hazardous Materials, including the use, manufacture, possession, storage, presence, Release, threatened Release, discharge, placement, generation, transportation, processing, treatment, abatement, removal, remediation, disposal, disposition or handling of, or exposure to, any Hazardous Materials, and any corrective action or response action with respect to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 Interest Rate Agreement or a Currency Agreement.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Increased-Cost Lenders</w:t>
      </w:r>
      <w:r>
        <w:rPr>
          <w:rFonts w:ascii="Times New Roman" w:cs="Times New Roman" w:eastAsia="Times New Roman" w:hAnsi="Times New Roman"/>
          <w:sz w:val="18"/>
          <w:szCs w:val="18"/>
          <w:color w:val="auto"/>
        </w:rPr>
        <w:t>” has the meaning assigned to that term in Section 2.22.</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Cap</w:t>
      </w:r>
      <w:r>
        <w:rPr>
          <w:rFonts w:ascii="Times New Roman" w:cs="Times New Roman" w:eastAsia="Times New Roman" w:hAnsi="Times New Roman"/>
          <w:sz w:val="18"/>
          <w:szCs w:val="18"/>
          <w:color w:val="auto"/>
        </w:rPr>
        <w:t xml:space="preserve">” means (a) the Shared Incremental Amount, plus (b) in the case of any Additional Term Loans or any Incremental Equivalent Debt that is secured by a Lien on the Collateral that is pari passu (but without regard to the control of remedies) with the Liens securing the Obligations, an additional amount so long as after giving effect to the Additional Term Loans or such Incremental Equivalent Debt, as applicable, the First Lien Debt Ratio is not greater than (i) 3.00 to 1.00 or (ii) to the extent any such Additional Term Loans or such Incremental Equivalent Debt, as applicable, is incurred in connection with an acquisition or other Investment permitted hereunder, the greater of (x) 3.00 to 1.00 and (y) the First Lien Debt Ratio immediately prior to such incurrence and such permitted acquisition or Investment, plus (c) solely in the case of Incremental Equivalent Debt, if such Incremental Equivalent Debt is secured by a Lien on the Collateral that is junior to the Liens securing the Obligations, an additional amount so long as after giving effect to such Incremental Equivalent Debt, the Secured Debt Ratio does not exceed (i) 3.50 to 1.00 or (ii) to the extent such Incremental Equivalent Debt is incurred in connection with an acquisition or other Investment permitted hereunder, the greater of (x) 3.50 to 1.00 and (y) the Secured Debt Ratio immediately prior to such incurrence and such permitted acquisition or Investment, plus (d) solely in the case of Incremental Equivalent Debt, if such Incremental Equivalent Debt is unsecured, an additional amount so long as after giving effect to such Incremental Equivalent Debt, the Total Leverage Ratio is not greater than (i) 4.00 to 1.00 or (ii) to the extent that such Incremental Equivalent Debt is incurred in connection with an acquisition or other investment permitted hereunder, the greater of (x) 4.00 to 1.00 and (y) the Total Leverage Ratio immediately prior to such incurrence and such permitted acquisition or Investment (it being understood that in determining the amount of unrestricted Cash of the Company for purposes of calculating the First Lien Debt Ratio, the Secured Debt Ratio or the Total Leverage Ratio, the proceeds of any such Additional Term Loans or Incremental Equivalent Debt, as applicable, shall not be included);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calculation of the First Lien Debt Ratio, Secured Debt Ratio or Total Leverage Ratio in connection with any incurrence of Additional Term Loans or Incremental Equivalent Debt in reliance on clauses (b), (c) or (d), as applicable, any concurrent incurrence of Additional Term Loans or Incremental Equivalent Debt in reliance on clause (a) shall be disregarded).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means Indebtedness in an amount not to exceed the Incremental Cap consisting of the incurrence or issuance by any Credit Party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provided that (a) no Default or Event of Default shall exist on the date of incurrence thereof before or after giving effect to such Incremental Equivalent Debt (except with respect to any use of Incremental Equivalent Debt in connection with a Limited Condition Transaction, no such Default or Event of Default shall exist at the time elected by the Company pursuant to Section 1.6), (b) the final maturity date of any Incremental Equivalent Debt shall be no earlier than the Maturity Date (provided, that the foregoing limitation shall not apply to a customary bridge facility which, subject to customary conditions, automatically converts into long-term debt satisfying the requirements of this clause (b)), (c) the weighted average life to maturity of any such Incremental Equivalent Debt shall be no earlier than the weighted average life to maturity of the Term Loans (provided that the foregoing limitation shall not apply to a customary bridge facility which, subject to customary conditions, automatically converts into long-term debt satisfying the requirements of this clause (c)), (d) if such Incremental Equivalent Debt is secured, the applicable Other Debt Representative shall have become party to a Pari Intercreditor Agreement or Junior Lien Intercreditor Agreement (as applicable), (e) such Incremental Debt may not be guaranteed by any Subsidiary of the Company other than a Subsidiary Guarantor or secured by Liens on any assets of the Company other than the Collateral, (f) any Incremental Equivalent Debt that is pari passu in right of payment and security with the Term Loans may provide for the ability to participate (i) a pro rata basis or non-pro rata basis in any voluntary prepayment of Term Loans, in each case, made pursuant to Section 2.12 and (ii) on a pro rata or less than pro rata basis (but not on a greater than pro rata basis, other than in the case of prepayment with proceeds of Indebtedness refinancing such Incremental Equivalent Debt) in any mandatory prepayment of Term Loans required pursuant to Section 2.13,</w:t>
      </w:r>
    </w:p>
    <w:p>
      <w:pPr>
        <w:spacing w:after="0" w:line="14" w:lineRule="exact"/>
        <w:rPr>
          <w:sz w:val="20"/>
          <w:szCs w:val="20"/>
          <w:color w:val="auto"/>
        </w:rPr>
      </w:pPr>
    </w:p>
    <w:p>
      <w:pPr>
        <w:jc w:val="both"/>
        <w:ind w:firstLine="8"/>
        <w:spacing w:after="0" w:line="25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MFN Adjustment shall apply mutatis mutandis to any such Incremental Equivalent Debt in the form of term loans secured on a pari passu basis with the Term Loans as if such Incremental Equivalent Debt were Additional Term Loans and (h) except as otherwise required in clauses (a) through (g) above, all other terms of such Incremental Equivalent Debt will be as agreed with the Company and the lenders providing such 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such terms are not consistent with the terms in respect of the Term Loans, they shall be not materially more restrictive (as determined by the Company in good faith), when taken as a whole, than those under the Term Loans (except for covenants or other provisions (x) applicable only to periods after the Maturity Date, (y) that are also added for the benefit of the Term Loans or (z) that are reasonably satisfactory to the Administrative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means, without duplication, (i) all indebtedness for borrowed money; (ii) the principal portion of obligations with respect to Capital Leases; (iii) notes payable and drafts accepted representing extensions of credit whether or not representing obligations for borrowed money (excluding accounts payable which are classified as current liabilities in accordance with GAAP and accrued expenses in each case incurred in the ordinary course of business); (iv) any obligation owed for all or any part of the deferred purchase price of property or services (excluding any such obligations incurred under ERISA but including earn-outs incurred in connection with a Permitted Acquisition to the extent required to be reflected on a balance sheet in accordance with GAAP to the extent such earn-out obligations are not paid within 30 days after the amount due is finally determined), which purchase price is due more than six months from the date of incurrence of the obligation in respect thereof; (v) all indebtedness secured by any Lien on any property or asset owned or held by that Person regardless of whether the indebtedness secured thereby shall have been assumed by that Person or is nonrecourse to the credit of that Person; (vi) the amount available to be drawn under on any letter of credit issued for the account of that Person or as to which that Person is otherwise liable for reimbursement of drawings; (vii) the direct or indirect guaranty, endorsement (otherwise than for collection or deposit in the ordinary course of business), co-making, discounting with recourse or sale with recourse by such Person of the obligation of another;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therefore,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subclauses (a) or (b) of this clause (ix), the primary purpose or intent thereof is as described in clause (viii) above; (x) all net payment obligations of such Person in respect of any exchange traded or over the counter derivative transaction, including any Interest Rate Agreement and Currency Agreement, whether entered into for hedging or speculative purposes; (xi) the principal balance outstanding under any synthetic lease, tax retention lease, off-balance sheet loan or similar off-balance sheet financing product; and (xii) the indebtedness of any partnership or Joint Venture in which such Person is a general partner or a joint venturer except to the extent that the terms of such indebtedness provide that such indebtedness is nonrecourse to such Person.</w:t>
      </w:r>
    </w:p>
    <w:p>
      <w:pPr>
        <w:spacing w:after="0" w:line="18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any Credit Party under any Credit Document and (b) Other Taxes.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assigned to that term in Section 10.3(a).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Installment</w:t>
      </w:r>
      <w:r>
        <w:rPr>
          <w:rFonts w:ascii="Times New Roman" w:cs="Times New Roman" w:eastAsia="Times New Roman" w:hAnsi="Times New Roman"/>
          <w:sz w:val="18"/>
          <w:szCs w:val="18"/>
          <w:color w:val="auto"/>
        </w:rPr>
        <w:t>” has the meaning assigned to that term in Section 2.11.</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including patents, industrial designs, trademarks, service marks, tradenames, brand names, corporate names, domain names, logos, trade dress, copyrights, technology, know-how, inventions, trade secrets, confidential, proprietary or non-public information, methods and processes used in or necessary for the conduct of the business of the Company and its Subsidiaries, and all renewals, extensions, substitutions, continuations, divisionals, re-issues, re-examinations, registrations and applications for registration of the foregoing and all goodwill associated therewith.</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means the Intercreditor Agreement dated as of the date hereof by and among the Credit Parties party thereto, the Agents and JPMorgan Chase Bank, N.A., as administrative agent and collateral agent under the Revolving Credit Documents, substantially in the form of Exhibit L, as it may be amended, supplemented or otherwise modified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means with respect to (i) any ABR Loan, the last Business Day in each of March, June, September and December of each year through the final maturity date of such Loan; (ii) any Term Benchmark Loan, the last day of the Interest Period applicable to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each Interest Period of longer than three months “Interest Payment Date” shall also include each date that is three months, or an integral multiple thereof, after the commencement of such Interest Period; and (iii) any RFR Loan (if any, as provided in Section 2.7(a) (iii)), each date that is on the numerically corresponding day in each calendar month that is one month after the borrowing of such Loan (or, if there is no such numerically corresponding day in such month, then the last day of such month).</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connection with a Term Benchmark Loan, an interest period of one-, three- or six-months (in each case, subject to the availability for the Benchmark applicable to the relevant Loan or Commitment), as selected by the Borrower in the applicable Funding Notice or Conversion/Continuation Notice, (i) initially, commencing on the Credit Date or Conversion/Continuation Date thereof, as the case may be; and (ii) thereafter, commencing on the day on which the immediately preceding Interest Period expires; provided,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clause (c), of this definition, end on the last Business Day of a calendar month; (c) no Interest Period with respect to any portion of any Term Loan shall extend beyond the Maturity Date; and (d) no tenor that has been removed from this definition pursuant to Section 2.17(a)(v i) shall be available for specification in such Funding Notice or Conversion/Continuation Notice.</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Agreement</w:t>
      </w:r>
      <w:r>
        <w:rPr>
          <w:rFonts w:ascii="Times New Roman" w:cs="Times New Roman" w:eastAsia="Times New Roman" w:hAnsi="Times New Roman"/>
          <w:sz w:val="18"/>
          <w:szCs w:val="18"/>
          <w:color w:val="auto"/>
        </w:rPr>
        <w:t>” means any interest rate swap agreement, interest rate cap agreement, interest rate collar agreement, interest rate hedging agreement or other similar agreement or arrangement, each of which is for the purpose of hedging the interest rate exposure associated with the Company’s and its Subsidiaries’ operations and not for speculative purposes.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Determination Date</w:t>
      </w:r>
      <w:r>
        <w:rPr>
          <w:rFonts w:ascii="Times New Roman" w:cs="Times New Roman" w:eastAsia="Times New Roman" w:hAnsi="Times New Roman"/>
          <w:sz w:val="18"/>
          <w:szCs w:val="18"/>
          <w:color w:val="auto"/>
        </w:rPr>
        <w:t>” means, with respect to any Interest Period, the date that is two Business Days prior to the first day of such Interest Period.</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Internal Revenue Code of 1986, as amended to the Closing Date and from time to time hereafter, and any successor statute.</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(i) any direct or indirect purchase or other acquisition by the Company or any of its Subsidiaries of, or of a beneficial interest in, any of the Securities of any other Person (including any Subsidiary of the Company); (ii) any direct or indirect redemption, retirement, purchase or other acquisition for value, by any Subsidiary of the Company from any Person other than the Company or any Guarantor Subsidiary, of any Capital Stock of such Subsidiary; and (iii) any direct or indirect loan, advance (other than advances to employees for moving, entertainment and travel expenses, drawing accounts and similar expenditures in the ordinary course of business) or capital contribution by the Company or any of its Subsidiaries to any other Person, including all indebtedness and accounts receivable from that other Person that are not current assets or did not arise from sales to that other Person in the ordinary course of business. The amount of any Investment shall be the original cost of such Investment plus the cost of all additions thereto minus the amount of any return of capital with respect to such Investment, without any adjustments for increases or decreases in value, or write-ups, write-downs or write-offs with respect to such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xml:space="preserve">” means a joint venture, partnership or other similar arrangement, whether in corporate, partnership or other legal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any corporate Subsidiary of any Person be considered to be a Joint Venture to which such Person is a party.</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Intercreditor Agreement</w:t>
      </w:r>
      <w:r>
        <w:rPr>
          <w:rFonts w:ascii="Times New Roman" w:cs="Times New Roman" w:eastAsia="Times New Roman" w:hAnsi="Times New Roman"/>
          <w:sz w:val="18"/>
          <w:szCs w:val="18"/>
          <w:color w:val="auto"/>
        </w:rPr>
        <w:t>” means an intercreditor agreement in a form reasonably acceptable to the Administrative Agent among the Credit Parties from time to time party thereto, the Collateral Agent and the Other Debt Representative for the holders of the applicable Indebtedness that is permitted to be, and is intended to be, secured by a Lien on the Collateral that is junior to the Liens securing the Obligations.</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at any time, any lender that holds Term Loans at such time, and shall include any Person listed on Schedule 2.1 hereto or that becomes a party hereto pursuant to an Assignment and Assumption or a Term Loan Joinder Agreement, other than any such Person that ceases to be a party hereto pursuant to an Assignment and Assumption.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has the meaning assigned to that term in Section 1.6.</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Liquidity</w:t>
      </w:r>
      <w:r>
        <w:rPr>
          <w:rFonts w:ascii="Times New Roman" w:cs="Times New Roman" w:eastAsia="Times New Roman" w:hAnsi="Times New Roman"/>
          <w:sz w:val="18"/>
          <w:szCs w:val="18"/>
          <w:u w:val="single" w:color="auto"/>
          <w:color w:val="0000FF"/>
        </w:rPr>
        <w:t>” means, as of any date of determination, the average daily cash balance of the Company over the five (5) Business Days preceding such date.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Term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that term in Regulation U.</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upon (i) the business, operations, assets or financial condition of the Company and its Subsidiaries taken as a whole; (ii) the ability of any Credit Party to perform its Obligations; (iii) the legality, validity, binding effect or enforceability against a Credit Party of a Credit Document to which it is a party; or (iv) the rights, remedies and benefits available to, or conferred upon, any Agent and any Lender or any Secured Party under any Credit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any individual Real Estate Asset owned in fee with a fair market value equal to or greater than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October 25, 2028.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MFN Adjustment</w:t>
      </w:r>
      <w:r>
        <w:rPr>
          <w:rFonts w:ascii="Times New Roman" w:cs="Times New Roman" w:eastAsia="Times New Roman" w:hAnsi="Times New Roman"/>
          <w:sz w:val="18"/>
          <w:szCs w:val="18"/>
          <w:color w:val="auto"/>
        </w:rPr>
        <w:t>” has the meaning assigned to that term in Section 2.23(b).</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means, on any date, material non-public information with respect to any Credit Party, the Term Loans or any securities issued by a Credit Party that has not been disclosed to the Lenders (other than Lenders that do not wish to receive MNPI or any such information that is disclosed to all Lenders in accordance with the confidentiality provisions of this Agreement) prior to such date to the extent such information could reasonably be expected to have a material effect upon, or otherwise be material to, a Lender’s decision to assign Term Loans to, or acquire Term Loans from, a Credit Party.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in form and substance reasonably satisfactory to the Collateral Agent, as such form may be amended, supplemented or otherwise modified from time to time.</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4001(a)(3) of ERISA to which the Company, any of its Subsidiaries or any of their respective ERISA Affiliates (i) makes or is obligated to make contributions; (ii) during the preceding five plan years, has made or been obligated to make contributions; or (iii) has any actual or contingent liability.</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any Employee Benefit Plan which has two or more contributing sponsors (including the Company, any of its Subsidiaries or any of their respective ERISA Affiliates) at least two of whom are not under common control, as such a plan is described in Section 4064 of ERISA.</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Asset Sale Proceeds</w:t>
      </w:r>
      <w:r>
        <w:rPr>
          <w:rFonts w:ascii="Times New Roman" w:cs="Times New Roman" w:eastAsia="Times New Roman" w:hAnsi="Times New Roman"/>
          <w:sz w:val="18"/>
          <w:szCs w:val="18"/>
          <w:color w:val="auto"/>
        </w:rPr>
        <w:t xml:space="preserve">” means, with respect to any Asset Sale, an amount equal to: (i) Cash payments (including any Cash received by way of deferred payment pursuant to, or by monetization of, a note receivable or otherwise, but only as and when so received) received by the Company or any of its Subsidiaries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bona fide direct costs incurred in connection with such Asset Sale, including (a) income taxes estimated in good faith by the seller thereof to be payable by the seller as a result of any gain recognized in connection with such Asset Sale,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brokerage fees and legal expenses incurred directly attributable to such Asset Sale; and (d) any reserves required to be established by the seller thereof in accordance with GAAP against liabilities reasonably anticipated and directly attributable to the Asset Sale, including pension and other post-employment benefit liabilities, liabilities related to environmental matters and liabilities under indemnification obligations associated with such Asset Sale.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Insurance/Condemnation Proceeds</w:t>
      </w:r>
      <w:r>
        <w:rPr>
          <w:rFonts w:ascii="Times New Roman" w:cs="Times New Roman" w:eastAsia="Times New Roman" w:hAnsi="Times New Roman"/>
          <w:sz w:val="18"/>
          <w:szCs w:val="18"/>
          <w:color w:val="auto"/>
        </w:rPr>
        <w:t xml:space="preserve">” means an amount equal to: (i) any Cash payments or proceeds received by the Company or any of its Subsidiaries (a) under any casualty insurance policy in respect of a covered loss thereunder or (b) as a result of the taking of any assets of the Company or any of its Subsidiaries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actual and reasonable costs incurred by the Company or any of its Subsidiaries in connection with the adjustment or settlement of any claims of the Company or such Subsidiary in respect thereof, and (b) any bona fide direct costs incurred in connection with any sale of such assets as referred to in clause (i)(b) of this definition, including income taxes estimated in good faith by the seller thereof to be payable as a result of any gain recognized in connection therewith.</w:t>
      </w:r>
    </w:p>
    <w:p>
      <w:pPr>
        <w:spacing w:after="0" w:line="18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means a Lender that is for U.S. federal income tax purposes a corporation, individual, partnership, trust or estate and is not a U.S. Person.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Term Loan Note.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means a Funding Notice or a Conversion/Continuation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obligations of every nature of each Credit Party from time to time owed to the Agents (including former Agents), the Lenders or any of them, under any Credit Document, whether for principal, interest (including interest which, but for the filing of a petition in bankruptcy with respect to such Credit Party, would have accrued on any Obligation, whether or not a claim is allowed against such Credit Party for such interest in the related bankruptcy proceeding), payments for fees, expenses, indemnification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has the meaning assigned to that term in Section 7.7.</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(i) with respect to any corporation, its certificate or articles of incorporation or organization, as amended, and its by-laws, as amended, (ii) with respect to any limited partnership, its certificate of limited partnership, as amended, and its partnership agreement, as amended, (iii) with respect to any general partnership, its partnership agreement, as amended, and (iv) with respect to any limited liability company, its articles of organization, as amended, and its operating agreement, as amended.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Credit Document, or sold or assigned an interest in any Credit Document).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Debt</w:t>
      </w:r>
      <w:r>
        <w:rPr>
          <w:rFonts w:ascii="Times New Roman" w:cs="Times New Roman" w:eastAsia="Times New Roman" w:hAnsi="Times New Roman"/>
          <w:sz w:val="18"/>
          <w:szCs w:val="18"/>
          <w:color w:val="auto"/>
        </w:rPr>
        <w:t>” has the meaning assigned to that term in Section 6.16.</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Debt Representative</w:t>
      </w:r>
      <w:r>
        <w:rPr>
          <w:rFonts w:ascii="Times New Roman" w:cs="Times New Roman" w:eastAsia="Times New Roman" w:hAnsi="Times New Roman"/>
          <w:sz w:val="18"/>
          <w:szCs w:val="18"/>
          <w:color w:val="auto"/>
        </w:rPr>
        <w:t>” means with respect to any series of applicable Indebtedness permitted to be incurred and secured by a Lien on the Collateral that is pari passu (but without regard to the control of remedies) with or junior to the Lien securing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Credit Document, except any such Taxes that are Other Connection Taxes imposed with respect to an assignment (other than an assignment under Section 2.22).</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Intercreditor Agreement</w:t>
      </w:r>
      <w:r>
        <w:rPr>
          <w:rFonts w:ascii="Times New Roman" w:cs="Times New Roman" w:eastAsia="Times New Roman" w:hAnsi="Times New Roman"/>
          <w:sz w:val="18"/>
          <w:szCs w:val="18"/>
          <w:color w:val="auto"/>
        </w:rPr>
        <w:t>” means an intercreditor agreement in a form reasonably acceptable to the Administrative Agent among the Credit Parties from time to time party thereto, the Collateral Agent and the Other Debt Representative for the holders of the applicable Indebtedness that is permitted to be, and is intended to be, secured by a Lien on the Collateral that is pari passu (but without regard to the control of remedies) with the Liens securing the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Benefit Plan (including a Multiple Employer Plan, but not including a Multiemployer Plan) which is subject to Title IV of ERISA, Section 412 of the Internal Revenue Code, or Section 302 of ERISA (i) which is or was sponsored, maintained or contributed to by, or required to be contributed to by the Company or any of its Subsidiaries or any respective ERISA Affiliates; or (ii) with respect to which the Company or any of its Subsidiaries or any respective ERISA Affiliates has any actual or contingent liability.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means any acquisition by the Company or any of its Subsidiaries, whether by purchase, merger or otherwise, of all or substantially all of the assets of, all of the Capital Stock of, or a business line or unit or a division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immediately prior to, and after giving effect thereto, no Default or Event of Default shall have occurred and be continuing or would result therefrom; (ii) all transactions in connection therewith shall be consummated, in all material respects, in accordance with all applicable laws and in conformity with all applicable Governmental Authorizations; (iii) the Company shall have taken, or caused to be taken, each of the actions (and within the time periods) set forth in Section 5.10; (iv) any Person or assets or division as acquired in accordance herewith shall be in same business or lines of business in which the Company and/or its Subsidiaries are engaged as of the Closing Date or any business reasonably related thereto; (v) each such Permitted Acquisition shall be effectuated pursuant to the terms of a consensual merger or stock purchase agreement or other consensual acquisition agreement between the Company or the applicable Subsidiary and the applicable seller or Person being so acquired and (vi) the aggregate amount of consideration paid by the Company or any of its Subsidiaries for Permitted Acquisitions of Persons that do not become Credit Parties or assets that will not be owned by Credit Parties shall not exceed the greater of (x) $25,000,000 and (y) 25% of Consolidated Adjusted EBITDA of the Company for the most recently ended Test Period.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each of the Liens permitted pursuant to Section 6.2.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Ratio Debt</w:t>
      </w:r>
      <w:r>
        <w:rPr>
          <w:rFonts w:ascii="Times New Roman" w:cs="Times New Roman" w:eastAsia="Times New Roman" w:hAnsi="Times New Roman"/>
          <w:sz w:val="18"/>
          <w:szCs w:val="18"/>
          <w:color w:val="auto"/>
        </w:rPr>
        <w:t>” has the meaning assigned to that term in Section 6.1(q).</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means, with respect to any Indebtedness, extensions, renewals, refinancings or replacements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extensions, renewals, refinancings or replacements (i) are on terms and conditions (including the terms and conditions of any guarantees of or other credit support for such Indebtedness) not materially less favorable taken as a whole to the Company and its Subsidiaries, the Administrative Agent, the Collateral Agent or the Lenders than the terms and conditions of the Indebtedness being extended, renewed, refinanced or replaced, (ii) do not add as an obligor any Person that would not have been an obligor under the Indebtedness being extended, renewed replaced or refinanced, (iii) do not result in a greater principal amount or shorter remaining average life to maturity than the Indebtedness being extended, renewed replaced or refinanced and (iv) are not effected at any time when a Default or Event of Default has occurred and is continuing or would result therefrom.</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natural persons, corporations, limited partnerships, general partnerships, limited liability companies, limited liability partnerships, unlimited liability companies, joint stock companies, Joint Ventures, associations, companies, trusts, banks, trust companies, land trusts, business trusts or other organizations, whether or not legal entities, and Governmental Authorities.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Security Act</w:t>
      </w:r>
      <w:r>
        <w:rPr>
          <w:rFonts w:ascii="Times New Roman" w:cs="Times New Roman" w:eastAsia="Times New Roman" w:hAnsi="Times New Roman"/>
          <w:sz w:val="18"/>
          <w:szCs w:val="18"/>
          <w:color w:val="auto"/>
        </w:rPr>
        <w:t xml:space="preserve"> (Ontario), including the regulations thereto, provided that, if perfection or the effect of perfection or non-perfection or the priority of any Lien created hereunder on the Collateral is governed by the personal property security legislation or other applicable legislation with respect to personal property security, in effect in a jurisdiction other than Ontario, “PPSA” means the Personal Property Security Act or such other applicable legislation (including the Civil Code of Quebec) in effect from time to time in such other jurisdiction for the purposes of the provisions hereof relating to such perfection, effect of perfection or non-perfection or priority.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spacing w:after="0" w:line="1" w:lineRule="exact"/>
        <w:rPr>
          <w:sz w:val="20"/>
          <w:szCs w:val="20"/>
          <w:color w:val="auto"/>
        </w:rPr>
      </w:pPr>
    </w:p>
    <w:p>
      <w:pPr>
        <w:jc w:val="both"/>
        <w:ind w:firstLine="8"/>
        <w:spacing w:after="0" w:line="255"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2"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means the Administrative Agent’s principal office in New York City, or such other office as the Administrative Agent may from time to time designate in writing to the Borrower and each Lender.</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 of Crime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xml:space="preserve"> (Canada), as amended from time to time, and including all regulations thereunder.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has the meaning assigned to that term in Section 4.8.</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with respect to all payments, computations and other matters relating to the Term Loans of any Lender, the percentage obtained by dividing (a) the Term Loan Exposure of that Lender by (b) the aggregate Term Loan Exposure of all Lenders.</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means a Lender whose representatives may trade in securities of the Borrower or any of its Subsidiaries while in possession of the financial statements provided by the Borrower under the terms of this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has the meaning assigned to that term in Section 10.28.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Quebec Security Documents</w:t>
      </w:r>
      <w:r>
        <w:rPr>
          <w:rFonts w:ascii="Times New Roman" w:cs="Times New Roman" w:eastAsia="Times New Roman" w:hAnsi="Times New Roman"/>
          <w:sz w:val="18"/>
          <w:szCs w:val="18"/>
          <w:color w:val="auto"/>
        </w:rPr>
        <w:t>” means, if applicable, a notarial deed executed by any Credit Party from time to time required to perfect a Lien in favor of the Administrative Agent in the Province of Quebec.</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any interest (fee, leasehold or otherwise) then owned by any Credit Party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real property.</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 Deliverables</w:t>
      </w:r>
      <w:r>
        <w:rPr>
          <w:rFonts w:ascii="Times New Roman" w:cs="Times New Roman" w:eastAsia="Times New Roman" w:hAnsi="Times New Roman"/>
          <w:sz w:val="18"/>
          <w:szCs w:val="18"/>
          <w:color w:val="auto"/>
        </w:rPr>
        <w:t>” means, with respect to any Material Real Estate Asset:</w:t>
      </w:r>
    </w:p>
    <w:p>
      <w:pPr>
        <w:spacing w:after="0" w:line="229" w:lineRule="exact"/>
        <w:rPr>
          <w:sz w:val="20"/>
          <w:szCs w:val="20"/>
          <w:color w:val="auto"/>
        </w:rPr>
      </w:pPr>
    </w:p>
    <w:p>
      <w:pPr>
        <w:ind w:left="660" w:firstLine="1292"/>
        <w:spacing w:after="0" w:line="282" w:lineRule="auto"/>
        <w:tabs>
          <w:tab w:leader="none" w:pos="27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and notarized Mortgage, in proper form for recording in all appropriate places in all applicable jurisdictions, encumbering such Material Real Estate Asset;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Collateral Agent, an opinion of counsel (which counsel shall be reasonably satisfactory to Collateral Agent) in each state in which such Material Real Estate Asset is located with respect to the enforceability of such Mortgage to be recorded in such state and such other matters as Collateral Agent may reasonably request, in each case in form and substance reasonably satisfactory to Collateral Agent;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Collateral Agent, (a) an ALTA mortgagee title insurance policy or unconditional commitment therefor issued by a title company reasonably satisfactory to the Collateral Agent, in amounts satisfactory to the Collateral Agent with respect to such Material Real Estate Asset, dated as of the date of the recording of the Mortgage with respect to such Material Real Estate Asset and otherwise in form and substance reasonably satisfactory to Collateral Agent (each, a “</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together with such endorsements, coinsurance and reinsurance as the Collateral Agent may reasonably request and to the extent available in each applicable jurisdiction and copies of all recorded documents listed as exceptions to title or otherwise referred to therein and (b) evidence satisfactory to Collateral Agent that such Credit Party has paid to the title company or to the appropriate governmental authorities all expenses and premiums of the title company and all other sums required in connection with the issuance of each Title Policy and all recording and stamp taxes (including mortgage recording and intangible taxes) payable in connection with recording the Mortgage for such Material Real Estate Asset in the appropriate real estate records;</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Federal Emergency Management Agency Standard Flood Hazard Determination and evidence of flood insurance with respect to each Flood Hazard Property that is located in a community that participates in the National Flood Insurance Program, in each case in compliance with any applicable regulations of the Federal Reserve Board, in form and substance reasonably satisfactory to Collateral Agent;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Collateral Agent, an ALTA survey of such Material Real Estate Asset, certified to the Collateral Agent and dated as of a date acceptable to the title company for removal of the survey exceptions in the Title Policy for such Material Real Estate Asset, and otherwise in form and substance reasonably satisfactory to the Collateral Agent;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jc w:val="both"/>
        <w:ind w:left="660" w:firstLine="1292"/>
        <w:spacing w:after="0" w:line="261" w:lineRule="auto"/>
        <w:tabs>
          <w:tab w:leader="none" w:pos="29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only to any Material Real Estate Asset described in Section 5.10 hereof, upon request of the Administrative Agent and only to the extent required by applicable law, a USPAP and FIRREA appraisal of each such Material Real Estate Asset prepared by an MAI appraiser reasonably acceptable to the Administrative Agent on which the Agents and the Lenders (and their respective permitted assigns) may rely.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as applicable, (a) the Administrative Agent, (b) any Lender and (c) the Collateral Agent.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U.S. Government Securities Business Days prior to such setting, or (3) if such Benchmark is none of the Term SOFR Rate or Daily Simple SOFR, the time determined by the Administrative Agent in its reasonable discretion.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assigned to that term in Section 10.6(e).</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with respect to any Lender that is an investment fund, any other investment fund or similar investment vehicle that invests in commercial loans and that is managed or advised by (i) the Lender, (ii) an Affiliate of Lender or (iii) the same investment advisor as such Lender or by an Affiliate of such investment advisor.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Lender Assignment</w:t>
      </w:r>
      <w:r>
        <w:rPr>
          <w:rFonts w:ascii="Times New Roman" w:cs="Times New Roman" w:eastAsia="Times New Roman" w:hAnsi="Times New Roman"/>
          <w:sz w:val="18"/>
          <w:szCs w:val="18"/>
          <w:color w:val="auto"/>
        </w:rPr>
        <w:t>” has the meaning assigned to that term in Section 10.6(b).</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 or (ii) with respect to any RFR borrowing, the Adjusted Daily Simple SOFR, as applicable.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has the meaning assigned to that term in Section 10.5(f).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has the meaning assigned to that term in Section 2.22.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has the meaning assigned to that term in Section 10.5(f).</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constitution or other organizational or governing documents of such Person and (b) any statute, law (including common law), treaty, rule, direction,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means one or more Lenders having or holding Term Loan Exposure and representing more than 50% of the sum of the aggregate Term Loan Exposure of all Lenders.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(i) any dividend or other distribution (including, for the avoidance of doubt, any payment pursuant to Section 6.5(d)), direct or indirect, on account of any shares of any class of stock (or of any other Capital Stock) the Company or any of its Subsidiaries now or hereafter outstanding, except a dividend payable solely in shares of that class of stock to the holders of that class; (ii) any redemption, retirement, sinking fund or similar payment, purchase or other acquisition for value, direct or indirect, of any shares of any class of stock (or of any other Capital Stock) of the Company or any of its Subsidiaries now or hereafter outstanding; (iii) any payment made to retire, or to obtain the surrender of, any outstanding warrants, options or other rights to acquire shares of any class of stock (or of any other Capital Stock) of the Company or any of its Subsidiaries now or hereafter outstanding; and (iv) any payment or prepayment of principal of, premium, if any, or interest on, or redemption, purchase, retirement, defeasance (including in-substance or legal defeasance), sinking fund or similar payment with respect to, any Indebtedness permitted pursuant to Sections 6.1(b), 6.1(e) (in respect of Indebtedness incurred under Sections 6.1(b)) or 6.1(h) or with respect to any Other Debt permitted pursuant to Section 6.1.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Documents</w:t>
      </w:r>
      <w:r>
        <w:rPr>
          <w:rFonts w:ascii="Times New Roman" w:cs="Times New Roman" w:eastAsia="Times New Roman" w:hAnsi="Times New Roman"/>
          <w:sz w:val="18"/>
          <w:szCs w:val="18"/>
          <w:color w:val="auto"/>
        </w:rPr>
        <w:t>” means all documents, instruments or agreements executed and delivered by the Company or any of its Subsidiaries for the benefit of any agent or lender in connection with the Revolving Credit Facility.</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18"/>
          <w:szCs w:val="18"/>
          <w:color w:val="auto"/>
        </w:rPr>
        <w:t>” means the senior secured revolving credit facility pursuant to the Credit Agreement dated as of March 29, 2021 among the Company and Hydrofarm, LLC, as borrowers, the other Credit Parties party thereto as borrowers or guarantors, and JPMorgan Chase Bank, N.A. as administrative agent, as amended by that certain First Amendment and Joinder to Credit Agreement, dated as of August 31, 2021, as it may be further amended, modified, refinanced or replaced from time to time.</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RFR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Daily Simple SOFR.</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Sanctions (at the time of this Agreement, Crimea, Cuba, Iran, North Korea and Syria).</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or any EU member state, or Her Majesty’s Treasury of the United Kingdom (b) any Person operating, organized or resident in a Sanctioned Country, (c) Canadian Blocked Persons or (d) any Person owned or controlled by any such Person or Persons.</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Canadian federal government or (c) the United Nations Security Council, the European Union or Her Majesty’s Treasury of the United Kingdom.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 Services, a Standard &amp; Poor’s Financial Services LLC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Offer</w:t>
      </w:r>
      <w:r>
        <w:rPr>
          <w:rFonts w:ascii="Times New Roman" w:cs="Times New Roman" w:eastAsia="Times New Roman" w:hAnsi="Times New Roman"/>
          <w:sz w:val="18"/>
          <w:szCs w:val="18"/>
          <w:color w:val="auto"/>
        </w:rPr>
        <w:t>” has the meaning assigned to that term in Section 2.14(d).</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Debt Ratio</w:t>
      </w:r>
      <w:r>
        <w:rPr>
          <w:rFonts w:ascii="Times New Roman" w:cs="Times New Roman" w:eastAsia="Times New Roman" w:hAnsi="Times New Roman"/>
          <w:sz w:val="18"/>
          <w:szCs w:val="18"/>
          <w:color w:val="auto"/>
        </w:rPr>
        <w:t>” means the ratio as of the date of determination of (i) Consolidated Secured Debt, less unrestricted Cash and Cash Equivalents of the Company and its Subsidiaries to (ii) Consolidated Adjusted EBITDA for the Test Period.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collectively, the Administrative Agent, the Collateral Agent, the Arranger, the Lenders, the beneficiaries of each indemnification obligation undertaken by any Credit Party under any Credit Document and the successors and assigns of each of the foregoing.</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collectively, (i) the U.S. Security Agreement, (ii) the Canadian Security Agreement, and (iii) any other pledge or security agreement entered into after the date of this Agreement by any Credit Party (as required by this Agreement or any other Credit Document) for the benefit of the Administrative Agent and the other Secured Parties, in each case, as the same may be amended, restated, supplemented or otherwise modified from time to time.</w:t>
      </w:r>
    </w:p>
    <w:p>
      <w:pPr>
        <w:spacing w:after="0" w:line="17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Incremental Amount</w:t>
      </w:r>
      <w:r>
        <w:rPr>
          <w:rFonts w:ascii="Times New Roman" w:cs="Times New Roman" w:eastAsia="Times New Roman" w:hAnsi="Times New Roman"/>
          <w:sz w:val="18"/>
          <w:szCs w:val="18"/>
          <w:color w:val="auto"/>
        </w:rPr>
        <w:t>” means, as of any date of determination, (a) the greater of (x) $95,000,000 and (y) 100% of Consolidated Adjusted EBITDA of the Company for the most recently ended Test Period minus (b) the aggregate principal amount of all Additional Term Loan Commitments and Incremental Equivalent Debt incurred or issued in reliance on the Shared Incremental Amount on or prior to such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Website</w:t>
      </w:r>
      <w:r>
        <w:rPr>
          <w:rFonts w:ascii="Times New Roman" w:cs="Times New Roman" w:eastAsia="Times New Roman" w:hAnsi="Times New Roman"/>
          <w:sz w:val="18"/>
          <w:szCs w:val="18"/>
          <w:color w:val="auto"/>
        </w:rPr>
        <w:t>” means the NYFRB’s website, currently at or any successor source for the secured overnight financing rate identified as such by the SOFR Administrator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has the meaning assigned to it in the definition of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Solvency Certificate</w:t>
      </w:r>
      <w:r>
        <w:rPr>
          <w:rFonts w:ascii="Times New Roman" w:cs="Times New Roman" w:eastAsia="Times New Roman" w:hAnsi="Times New Roman"/>
          <w:sz w:val="18"/>
          <w:szCs w:val="18"/>
          <w:color w:val="auto"/>
        </w:rPr>
        <w:t>” means a Solvency Certificate of the chief financial officer of the Borrower substantially in the form of Exhibit 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as of the date of determination both (A) (i) the then fair saleable value of the property of such Person is (y) greater than the total amount of liabilities (including contingent liabilities) of such Person and (z) not less than the amount that will be required to pay the probable liabilities on such Person’s then existing debts as they become absolute and matured considering all financing alternatives and potential asset sales reasonably available to such Person; (ii) such Person’s capital is not unreasonably small in relation to its business or any contemplated or undertaken transaction; and (iii) such Person has not incurred and does not intend to incur, or believe (nor should it reasonably believe) that it will incur, debts beyond its ability to pay such debts as they become due (whether at maturity or otherwise); and (B) such Person is “solvent” or is not an “insolvent person” within the meaning given that term and similar terms under applicable laws relating to fraudulent transfers and conveyances and Canadian Debtor Relief Laws.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has the meaning assigned to that term in Section 6.8(a).</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determining the percentage of ownership interests of any Person controlled by another Person, no ownership interest in the nature of a “qualifying share” of the former Person shall be deemed to be outstanding.</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has the meaning assigned to that term in Section 10.28.</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present or future taxes, levies, imposts, duties, deductions, withholdings,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an extension of credit by a Lender to the Borrower pursuant to Sections 2.1(a), 2.8 and 2.23, as applicable.</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means the commitment of each Lender listed on Schedule 2.1 hereto to make a loan to the Borrower on the Closing Date in the amount set forth directly opposite such Lender’s name on Schedule 2.1,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such commitments of all such Lenders in the aggregate. The aggregate amount of the Term Loan Commitments as of the Closing Date is $125,000,000.</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Term Loans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at any time prior to the making of the Term Loans, the Term Loan Exposure of any Lender shall be equal to the principal amount of the Term Loans of such Lender’s Term Loan Commitment or Additional Term Loan Commitment.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Joinder Agreement</w:t>
      </w:r>
      <w:r>
        <w:rPr>
          <w:rFonts w:ascii="Times New Roman" w:cs="Times New Roman" w:eastAsia="Times New Roman" w:hAnsi="Times New Roman"/>
          <w:sz w:val="18"/>
          <w:szCs w:val="18"/>
          <w:color w:val="auto"/>
        </w:rPr>
        <w:t>” means the Term Loan Joinder Agreement, substantially in the form of Exhibit N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w:t>
      </w:r>
      <w:r>
        <w:rPr>
          <w:rFonts w:ascii="Times New Roman" w:cs="Times New Roman" w:eastAsia="Times New Roman" w:hAnsi="Times New Roman"/>
          <w:sz w:val="18"/>
          <w:szCs w:val="18"/>
          <w:color w:val="auto"/>
        </w:rPr>
        <w:t>” means a promissory note in the form of Exhibit B, as it may be amended, supplemented or otherwise modified from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Priority Collateral</w:t>
      </w:r>
      <w:r>
        <w:rPr>
          <w:rFonts w:ascii="Times New Roman" w:cs="Times New Roman" w:eastAsia="Times New Roman" w:hAnsi="Times New Roman"/>
          <w:sz w:val="18"/>
          <w:szCs w:val="18"/>
          <w:color w:val="auto"/>
        </w:rPr>
        <w:t>” has the meaning assigned to that term in the Intercreditor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Adjustment</w:t>
      </w:r>
      <w:r>
        <w:rPr>
          <w:rFonts w:ascii="Times New Roman" w:cs="Times New Roman" w:eastAsia="Times New Roman" w:hAnsi="Times New Roman"/>
          <w:sz w:val="18"/>
          <w:szCs w:val="18"/>
          <w:color w:val="auto"/>
        </w:rPr>
        <w:t>” means (a) for an Interest Period of one month, 0.11448%, (b) for an Interest Period of three months, 0.26161% and (c) for an Interest Period of six months, 0.42826%.</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Determination Day</w:t>
      </w:r>
      <w:r>
        <w:rPr>
          <w:rFonts w:ascii="Times New Roman" w:cs="Times New Roman" w:eastAsia="Times New Roman" w:hAnsi="Times New Roman"/>
          <w:sz w:val="18"/>
          <w:szCs w:val="18"/>
          <w:color w:val="auto"/>
        </w:rPr>
        <w:t>” has the meaning assigned to it in the definition of Term SOFR Reference Rate.</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for any day and time (such day, the “Term SOFR Determination Day “),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Lender</w:t>
      </w:r>
      <w:r>
        <w:rPr>
          <w:rFonts w:ascii="Times New Roman" w:cs="Times New Roman" w:eastAsia="Times New Roman" w:hAnsi="Times New Roman"/>
          <w:sz w:val="18"/>
          <w:szCs w:val="18"/>
          <w:color w:val="auto"/>
        </w:rPr>
        <w:t>” has the meaning assigned to that term in Section 2.22.</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means, at any time, the four Fiscal Quarters last ended (in each case taken as one accounting period) for which financial statements have been or are required to have been delivered, pursuant to Section 5.1(b) or 5.1(c) (or, prior to the first delivery of financial statements pursuant to Section 5.1, the four Fiscal Quarter period most recently ended prior to the Closing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has the meaning assigned to that term in the definition of “Real Estate Asset Deliverables.”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2" w:name="page103"/>
    <w:bookmarkEnd w:id="102"/>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the ratio as of the date of determination of (i) Consolidated Total Debt, less unrestricted Cash and Cash Equivalents of the Company and its Subsidiaries as of such date to (ii) Consolidated Adjusted EBITDA for the Test Period.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(a) the execution, delivery and performance by each Credit Party of the Credit Documents to which they are to be a party as of the Closing Date (and, in the case of the Company, the borrowing of Loans and the use of proceeds thereof in accordance with the terms hereof) and (b) the payment of the fees and expenses incurred in connection with the consummation of the foregoing.</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Transformative Acquisition</w:t>
      </w:r>
      <w:r>
        <w:rPr>
          <w:rFonts w:ascii="Times New Roman" w:cs="Times New Roman" w:eastAsia="Times New Roman" w:hAnsi="Times New Roman"/>
          <w:sz w:val="18"/>
          <w:szCs w:val="18"/>
          <w:color w:val="auto"/>
        </w:rPr>
        <w:t>” means any acquisition by the Company or its Subsidiaries that either (a) is not permitted by the terms of the Credit Documents immediately prior to the consummation of such acquisition or (b) if not prohibited by the terms of the Credit Documents immediately prior to the consummation of such acquisition, would not provide the Company and its Subsidiaries with adequate flexibility under the Credit Documents for the continuation and/or expansion of their combined operations following such consummation, as determined by the Borrower acting in good faith.</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 of Loan</w:t>
      </w:r>
      <w:r>
        <w:rPr>
          <w:rFonts w:ascii="Times New Roman" w:cs="Times New Roman" w:eastAsia="Times New Roman" w:hAnsi="Times New Roman"/>
          <w:sz w:val="18"/>
          <w:szCs w:val="18"/>
          <w:color w:val="auto"/>
        </w:rPr>
        <w:t>” means an ABR Loan, a Term Benchmark Loan or, subject to Section 2.7(a) (iii), an RFR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xml:space="preserve">” means the Benchmark Replacement excluding the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Unadjusted Benchmark Replacement as so determined would be less than zero, the Unadjusted Benchmark Replacement will be deemed to be zero for the purposes of this Agreement.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 “United States person” within the meaning of Section 7701(a)(30) of the Internal Revenue Code.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3" w:name="page104"/>
    <w:bookmarkEnd w:id="103"/>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Security Agreement</w:t>
      </w:r>
      <w:r>
        <w:rPr>
          <w:rFonts w:ascii="Times New Roman" w:cs="Times New Roman" w:eastAsia="Times New Roman" w:hAnsi="Times New Roman"/>
          <w:sz w:val="18"/>
          <w:szCs w:val="18"/>
          <w:color w:val="auto"/>
        </w:rPr>
        <w:t>” means that certain U.S. Pledge and Security Agreement (including any and all supplements thereto), dated as of the date hereof, among the Credit Parties party thereto and the Administrative Agent, for the benefit of the Administrative Agent and the other Secured Parties, as the same may be amended or otherwise modified from time to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has the meaning assigned to that term in Section 10.28.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Certificate</w:t>
      </w:r>
      <w:r>
        <w:rPr>
          <w:rFonts w:ascii="Times New Roman" w:cs="Times New Roman" w:eastAsia="Times New Roman" w:hAnsi="Times New Roman"/>
          <w:sz w:val="18"/>
          <w:szCs w:val="18"/>
          <w:color w:val="auto"/>
        </w:rPr>
        <w:t>” has the meaning assigned to such term in Section 2.19(f)(ii)(D)(2).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Voluntary Term Loan Prepayments</w:t>
      </w:r>
      <w:r>
        <w:rPr>
          <w:rFonts w:ascii="Times New Roman" w:cs="Times New Roman" w:eastAsia="Times New Roman" w:hAnsi="Times New Roman"/>
          <w:sz w:val="18"/>
          <w:szCs w:val="18"/>
          <w:color w:val="auto"/>
        </w:rPr>
        <w:t>” has the meaning assigned to such term in Section 2.13(d).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any Credit Party and the Administrative Agent or any other withholding agent for U.S. federal income tax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w:t>
      </w:r>
      <w:r>
        <w:rPr>
          <w:rFonts w:ascii="Times New Roman" w:cs="Times New Roman" w:eastAsia="Times New Roman" w:hAnsi="Times New Roman"/>
          <w:sz w:val="18"/>
          <w:szCs w:val="18"/>
          <w:color w:val="auto"/>
        </w:rPr>
        <w:t>” means, for any loan on any date on which any “Yield” is required to be calculated hereunder pursuant to Section 2.21 or 2.23, the internal rate of return on such loan determined by the Administrative Agent in consultation with the Borrower utilizing (a) the greater of (i) if applicable, any minimum Adjusted Term SOFR Rate applicable to such loan on such date and (ii) the forward Term SOFR Reference Rate curve (calculated on a quarterly basis) as calculated by the Administrative Agent in accordance with its customary practice during the period from such date to the earlier of (x) the date that is four (4) years following such date and (y) the maturity date of such loan; (b) the “Applicable Margin” for such loan on such date (other than any component thereof in any minimum Adjusted Term SOFR Rate which shall be determined pursuant to clause (a) above); and (c) the issue price of such loan (after giving effect to any original issue discount or upfront fees paid to the market in respect of such loan calculated based on an assumed four (4) year average life to maturity).</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Accounting Terms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both"/>
        <w:ind w:firstLine="1304"/>
        <w:spacing w:after="0" w:line="253" w:lineRule="auto"/>
        <w:tabs>
          <w:tab w:leader="none" w:pos="21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accounting terms not otherwise defined herein shall have the meanings assigned to them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Financial statements and other information required to be delivered by the Company to Lenders pursuant to Section 5.1(b) and 5.1(c) shall be prepared in accordance with GAAP as in effect at the time of such preparation (and delivered together with the reconciliation statements provided for in Section 5.1(e), if applicable). Subject to the foregoing, calculations in connection with the definitions, covenants and other provisions hereof shall utilize accounting principles and policies in conformity with those used to prepare the most recent financial statements referred to in Section 4.7.</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 all calculations with respect to definitions, covenants and other provisions hereof shall be made without giving effect to FASB ASC 825 (Financial Instruments) and (ii)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Credit Document shall be made or delivered, as applicable, in accordance therewith.</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 Interpretation, etc</w:t>
      </w:r>
      <w:r>
        <w:rPr>
          <w:rFonts w:ascii="Times New Roman" w:cs="Times New Roman" w:eastAsia="Times New Roman" w:hAnsi="Times New Roman"/>
          <w:sz w:val="18"/>
          <w:szCs w:val="18"/>
          <w:color w:val="auto"/>
        </w:rPr>
        <w:t>. The definitions of terms herein shall apply equally to the singular and plural forms of the terms defined. Whenever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any Collateral located in the Province of Québec or charged by any deed of hypothec (or any other Collateral Document) and for all other purposes pursuant to which the interpretation or construction of a Collateral Document may be subject to the laws of the Province of Québec or a court or tribunal exercising jurisdiction in the Province of Québec,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and “mortgage” shall be deemed to include a “hypothec”, (f) all references to filing, registering or recording under the UCC or the PPSA shall be deemed to include publication under the Civil Code of Québec,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and (j) an “agent” shall be deemed to include a “mandatary”.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interest rate on the Term Loans may be derived from an interest rate benchmark that may be discontinued or is, or may in the future become, the subject of regulatory reform. Upon the occurrence of a Benchmark Transition Event, Section 2.17(a)(ii)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1.4 Divisions</w:t>
      </w:r>
      <w:r>
        <w:rPr>
          <w:rFonts w:ascii="Times New Roman" w:cs="Times New Roman" w:eastAsia="Times New Roman" w:hAnsi="Times New Roman"/>
          <w:sz w:val="18"/>
          <w:szCs w:val="18"/>
          <w:color w:val="auto"/>
        </w:rPr>
        <w:t>. For all purposes under the Credit Documents, in connection with any division or plan of division under Delaware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firstLine="1304"/>
        <w:spacing w:after="0" w:line="253" w:lineRule="auto"/>
        <w:tabs>
          <w:tab w:leader="none" w:pos="19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an amount due hereunder in the currency in which it is due (the “</w:t>
      </w:r>
      <w:r>
        <w:rPr>
          <w:rFonts w:ascii="Times New Roman" w:cs="Times New Roman" w:eastAsia="Times New Roman" w:hAnsi="Times New Roman"/>
          <w:sz w:val="18"/>
          <w:szCs w:val="18"/>
          <w:b w:val="1"/>
          <w:bCs w:val="1"/>
          <w:color w:val="auto"/>
        </w:rPr>
        <w:t>Original Currency</w:t>
      </w:r>
      <w:r>
        <w:rPr>
          <w:rFonts w:ascii="Times New Roman" w:cs="Times New Roman" w:eastAsia="Times New Roman" w:hAnsi="Times New Roman"/>
          <w:sz w:val="18"/>
          <w:szCs w:val="18"/>
          <w:color w:val="auto"/>
        </w:rPr>
        <w:t>”) into another currency (the “</w:t>
      </w:r>
      <w:r>
        <w:rPr>
          <w:rFonts w:ascii="Times New Roman" w:cs="Times New Roman" w:eastAsia="Times New Roman" w:hAnsi="Times New Roman"/>
          <w:sz w:val="18"/>
          <w:szCs w:val="18"/>
          <w:b w:val="1"/>
          <w:bCs w:val="1"/>
          <w:color w:val="auto"/>
        </w:rPr>
        <w:t>Second Currency</w:t>
      </w:r>
      <w:r>
        <w:rPr>
          <w:rFonts w:ascii="Times New Roman" w:cs="Times New Roman" w:eastAsia="Times New Roman" w:hAnsi="Times New Roman"/>
          <w:sz w:val="18"/>
          <w:szCs w:val="18"/>
          <w:color w:val="auto"/>
        </w:rPr>
        <w:t>”), the rate of exchange applied shall be that at which, in accordance with normal banking procedures, the holder of any obligation owing by any Credit Party (the “</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could purchase in the New York foreign exchange market, the Original Currency with the Second Currency on the date two (2) Business Days preceding that on which judgment is given. Each Credit Party agrees that its obligation in respect of any Original Currency due from it hereunder shall, notwithstanding any judgment or payment in such other currency, be discharged only to the extent that, on the Business Day following the date the Applicable Creditor receives payment of any sum so adjudged to be due hereunder in the Second Currency, the Applicable Creditor may, in accordance with normal banking procedures, purchase, in the New York foreign exchange market, the Original Currency with the amount of the Second Currency so paid; and if the amount of the Original Currency so purchased or could have been so purchased is less than the amount originally due in the Original Currency, each Credit Party agrees as a separate obligation and notwithstanding any such payment or judgment to indemnify the Applicable Creditor against such loss. The term “rate of exchange” in this Section 1.5 means the spot rate at which the Applicable Creditor, in accordance with normal practices, is able on the relevant date to purchase the Original Currency with the Second Currency, and includes any premium and costs of exchange payable in connection with such purchase.</w:t>
      </w:r>
    </w:p>
    <w:p>
      <w:pPr>
        <w:spacing w:after="0" w:line="18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Limited Condition Transactions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herein, to the extent that the terms of this Agreement require (a) compliance with any financial ratio or financial test (including any First Lien Debt Ratio test, any Secured Debt Ratio test or any Total Leverage Ratio test) and/or any cap expressed as a percentage of Consolidated Adjusted EBITDA, (b) accuracy of any representation or warranty and/or the absence of a Default or Event of Default or (c) compliance with any basket or other condition, as a condition to the consummation of any acquisition, consolidation, business combination or similar Investment, in each case permitted hereunder, the consummation of which by the Company is not conditioned on the availability of, or obtaining, third party financing (any such transaction, a “</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xml:space="preserve">”), the determination of whether the relevant condition is satisfied may be made, at the election of the Company, at the time of (or on the basis of the most recent financial statements delivered pursuant to Section 5.1) either (x) the execution of the definitive agreement with respect to such acquisition, consolidation, business combination or similar Investment or (y) the consummation of such acquisition, consolidation, business combination or Investment, in each case,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relevant acquisition, consolidation, business combination or similar Investment (including the intended use of proceeds of any Indebtedness to be incurred in connection therewith) and any other acquisition, consolidation, business combination or similar Investment that has not been consummated but with respect to which the Company has elected to test any applicable condition prior to the date of consummation in accordance with this Section 1.6, and no Default or Event of Default shall be deemed to have occurred solely as a result of an adverse change in such test or condition occurring after the time such election is made. For the avoidance of doubt, if the Company shall have elected the option set forth in clause (x) in respect of any transaction, then (a) the Company shall be permitted to consummate such transaction even if any applicable test or condition shall cease to be satisfied subsequent to the Company’s election of such option and</w:t>
      </w:r>
    </w:p>
    <w:p>
      <w:pPr>
        <w:spacing w:after="0" w:line="11" w:lineRule="exact"/>
        <w:rPr>
          <w:sz w:val="20"/>
          <w:szCs w:val="20"/>
          <w:color w:val="auto"/>
        </w:rPr>
      </w:pPr>
    </w:p>
    <w:p>
      <w:pPr>
        <w:jc w:val="both"/>
        <w:ind w:firstLine="8"/>
        <w:spacing w:after="0" w:line="253" w:lineRule="auto"/>
        <w:tabs>
          <w:tab w:leader="none" w:pos="2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further determination with respect to incurrence tests prior to the earlier of the consummation of such Limited Condition Transaction and the termination of such Limited Condition Transaction will require the Company to comply with such tests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the applicable Limited Condition Transaction has been consummated and any applicable acquisition debt has been incurred. The provisions of this Section 1.6 shall also apply in respect of the incurrence of any Additional Term Loan Commitments.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LOANS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Subject to the terms and conditions set forth herein, each Lender agrees to make a loan or loans on the Closing Date in an amount equal to such Lender’s Term Loan Commitment to the Borrower. Any amount borrowed under this Section 2.1(a) and subsequently repaid or prepaid may not be reborrowed. Subject to Sections 2.11, 2.12 and 2.13, all amounts owed hereunder with respect to the Term Loans shall be paid in full no later than the Maturity Date. Each Lender’s Term Loan Commitment shall terminate immediately and without further action on the Closing Date after giving effect to the making by such Lender of its Term Loans on the Closing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Closing Date Loans</w:t>
      </w:r>
      <w:r>
        <w:rPr>
          <w:rFonts w:ascii="Times New Roman" w:cs="Times New Roman" w:eastAsia="Times New Roman" w:hAnsi="Times New Roman"/>
          <w:sz w:val="18"/>
          <w:szCs w:val="18"/>
          <w:color w:val="auto"/>
        </w:rPr>
        <w:t>. The Company shall deliver to the Administrative Agent a fully executed and delivered Funding Notice no later than 10:00 a.m. (New York City time) at least (x) three Business Days in advance of the Closing Date in the case of a eurodollar rate Loan to be made on the Closing Date or (y) one Business Day in advance of the Closing Date in the case of an ABR Loan to be made on the Closing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upon receipt by the Administrative Agent of such Funding Notice, the Administrative Agent shall notify each Lender of the proposed borrowing.</w:t>
      </w:r>
    </w:p>
    <w:p>
      <w:pPr>
        <w:spacing w:after="0" w:line="22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Pro Rata Shares; Availability of Funds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19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Term Loan Commitment or Additional Term Loan Commitment of any Lender be increased or decreased as a result of a default by any other Lender in such other Lender’s obligation to make a Loan requested hereunder or purchase a participation required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8" w:name="page109"/>
    <w:bookmarkEnd w:id="108"/>
    <w:p>
      <w:pPr>
        <w:jc w:val="both"/>
        <w:ind w:firstLine="1304"/>
        <w:spacing w:after="0" w:line="253" w:lineRule="auto"/>
        <w:tabs>
          <w:tab w:leader="none" w:pos="19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the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Alternate Base Rate. If such Lender does not pay such corresponding amount forthwith upon Administrative Agent’s demand therefor, Administrative Agent shall promptly notify the Borrower and the Borrower shall immediately pay such corresponding amount to Administrative Agent together with interest thereon, for each day from such Credit Date until the date such amount is paid to Administrative Agent, at the rate applicable to such Loan. Nothing in this Section 2.4(b) shall be deemed to relieve any Lender from its obligation to fulfill its Term Loan Commitments or Additional Term Loan Commitments (if applicable) hereunder or to prejudice any rights that the Borrower may have against any Lender as a result of any default by such Lender hereunder.</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2.5 Use of Proceeds</w:t>
      </w:r>
      <w:r>
        <w:rPr>
          <w:rFonts w:ascii="Times New Roman" w:cs="Times New Roman" w:eastAsia="Times New Roman" w:hAnsi="Times New Roman"/>
          <w:sz w:val="18"/>
          <w:szCs w:val="18"/>
          <w:color w:val="auto"/>
        </w:rPr>
        <w:t>. The proceeds of the Term Loans shall be used for general corporate purposes of the Borrower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 potential acquisitions by the Borrower and its Subsidiaries permitted hereunder. No portion of the proceeds of any Credit Extension shall be used in any manner that causes or might cause such Credit Extension or the application of such proceeds to violate Regulation T, Regulation U or Regulation X of the Federal Reserve Board or any other regulation thereof or to violate the Exchange Act.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Evidence of Debt;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Books and Records;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21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Accounts</w:t>
      </w:r>
      <w:r>
        <w:rPr>
          <w:rFonts w:ascii="Times New Roman" w:cs="Times New Roman" w:eastAsia="Times New Roman" w:hAnsi="Times New Roman"/>
          <w:sz w:val="18"/>
          <w:szCs w:val="18"/>
          <w:color w:val="auto"/>
        </w:rPr>
        <w:t>.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Account</w:t>
      </w:r>
      <w:r>
        <w:rPr>
          <w:rFonts w:ascii="Times New Roman" w:cs="Times New Roman" w:eastAsia="Times New Roman" w:hAnsi="Times New Roman"/>
          <w:sz w:val="18"/>
          <w:szCs w:val="18"/>
          <w:color w:val="auto"/>
        </w:rPr>
        <w:t>.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entries made in the accounts maintained pursuant to paragraph (a) or (b) of this Section shall be prima facie evidence of the existence and amounts of the obligations recorded therein; provided that the failure of any Lender or the Administrative Agent to maintain such accounts or any error therein shall not in any manner affect the obligation of the Borrower to repay the Loans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Any Lender may request that Loans made by it be evidenced by a promissory note. In such event, the Borrower shall prepare, execute and deliver to such Lender a Term Loan Note payable to such Lender (or, if requested by such Lender, to such Lender and its registered assigns). Thereafter, the Loans evidenced by such promissory note and interest thereon shall at all times (including after assignment pursuant to Section 10.6) be represented by one or more promissory notes in such form payable to the order of the payee named therein (or, if such promissory note is a registered note, to such payee and its registered assigns).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Interest on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82" w:lineRule="auto"/>
        <w:tabs>
          <w:tab w:leader="none" w:pos="20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each Term Loan shall bear interest on the unpaid principal amount thereof from the date made through repayment (whether by acceleration or otherwise) thereof as follows:</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ABR Loan, at the Alternate Base Rate plus the Applicable Margin; or</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Term Benchmark Loan, at the Adjusted Term SOFR Rate plus the Applicable Margin;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RFR Loan, at the Adjusted Daily Simple SOFR plus the Applicable Margin (it being understood and agreed that notwithstanding anything herein to the contrary, the Borrower shall not be permitted to request or convert to an RFR Loan and Adjusted Daily Simple SOFR shall only apply to the extent provided in Section 2.17).</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determining the rate of interest with respect to any Loan, and the Interest Period with respect to any Term Benchmark Loan, shall be selected by the Borrower and notified to Administrative Agent and Lenders pursuant to the applicable Funding Notice or Conversion/Continuation Notice, as the case may be. If on any day a Loan is outstanding with respect to which a Conversion/Continuation Notice has not been delivered to Administrative Agent in accordance with the terms hereof specifying the applicable basis for determining the rate of interest, then for that day such Loan shall be an ABR Loan.</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Term Benchmark Loans there shall be no more than 10 Interest Periods outstanding at any time. In the event the Borrower fails to specify between an ABR Loan or a Term Benchmark Loan in the applicable Funding Notice or Conversion/Continuation Notice, such Loan (if outstanding as a Term Benchmark Loan) will be automatically converted into an ABR Loan on the last day of the then-current Interest Period for such Loan (or if outstanding as an ABR Loan will remain as, or (if not then outstanding) will be made as, an ABR Loan). In the event the Borrower fails to specify an Interest Period for any Term Benchmark Loan in the applicable Funding Notice or Conversion/Continuation Notice, the Borrower shall be deemed to have selected an Interest Period of one month. As soon as practicable after 10:00 a.m. (New York City time) on each Interest Rate Determination Date,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and each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jc w:val="both"/>
        <w:ind w:firstLine="1304"/>
        <w:spacing w:after="0" w:line="253" w:lineRule="auto"/>
        <w:tabs>
          <w:tab w:leader="none" w:pos="19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pursuant to Section 2.7(a) shall be computed (i) in the case of ABR Loans only at times when the Alternate Base Rate is based on the Prime Rate on the basis of a 365-day or 366-day year, as the case may be, and (ii) in the case of ABR Loans at times when the Alternate Base Rate is based on the NYFRB or the Adjusted Term SOFR Rate or in the case of any other Loans, on the basis of a 360-day year, in each case for the actual number of days elapsed in the period during which it accrues. In computing interest on any Loan, the date of the making of such Loan or the first day of an Interest Period applicable to such Loan or, with respect to an ABR Loan being converted from a Term Benchmark Loan (or, subject to Section 2.7(a)(iii), an RFR Loan, as the case may be), the date of conversion of such Term Benchmark Loan or RFR Loan to such ABR Loan, as the case may be, shall be included, and the date of payment of such Loan or the expiration date of an Interest Period applicable to such Loan or, with respect to an ABR Loan being converted to a Term Benchmark Loan, (or, subject to Section 2.7(a)(iii), an RFR Loan, as the case may be), the date of conversion of such ABR Loan to such Term Benchmark Loan or RFR Loan, as the case may be, shall be excluded; provided, if a Loan is repaid on the same day on which it is made, one day’s interest shall be paid on that Loan.</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interest on each Loan shall be payable in arrears on and to (i) each Interest Payment Date applicable to such Loan; (ii) upon any prepayment of such Loan that is a Term Benchmark Loan, whether voluntary or mandatory, to the extent accrued on the amount being prepaid; and (iii) at maturity, including final maturity.</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disclosure pursuant to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xml:space="preserve"> (Canada), the annual rates of interest or fees to which the rates of interest or fees provided in this Agreement and the other Collateral Documents (and stated herein or therein, as applicable, to be computed on the basis of 360 days or any other period of time less than a calendar year) are equivalent to the rates so determined multiplied by the actual number of days in the applicable calendar year and divided by 360 or such other period of time, respectively.</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provision of any of the Credit Documents would obligate any Canadian Loan Party to make any payment of interest with respect to the Obligations in an amount or calculated at a rate which would be prohibited by applicable law or would result in the receipt of interest with respect to the Obligations of the Canadian Loan Party at a criminal rate (as such terms are construed under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then notwithstanding such provision, such amount or rates shall be deemed to have been adjusted with retroactive effect to the maximum amount or rate of interest, as the case may be, as would not be so prohibited by law or so result in a receipt by the applicable recipient of interest with respect to the Obligations at a criminal rate, such adjustment to be effected, to the extent necessary. Notwithstanding the foregoing, and after giving effect to all adjustments contemplated thereby, if the applicable recipient shall have received an amount in excess of the maximum permitted by that section of the </w:t>
      </w:r>
      <w:r>
        <w:rPr>
          <w:rFonts w:ascii="Times New Roman" w:cs="Times New Roman" w:eastAsia="Times New Roman" w:hAnsi="Times New Roman"/>
          <w:sz w:val="18"/>
          <w:szCs w:val="18"/>
          <w:i w:val="1"/>
          <w:iCs w:val="1"/>
          <w:color w:val="auto"/>
        </w:rPr>
        <w:t xml:space="preserve">Criminal Code </w:t>
      </w:r>
      <w:r>
        <w:rPr>
          <w:rFonts w:ascii="Times New Roman" w:cs="Times New Roman" w:eastAsia="Times New Roman" w:hAnsi="Times New Roman"/>
          <w:sz w:val="18"/>
          <w:szCs w:val="18"/>
          <w:color w:val="auto"/>
        </w:rPr>
        <w:t>(Canada), then the Canadian Loan Parties shall be entitled, by notice in writing to the Administrative Agent, to obtain reimbursement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recipient in an amount equal to such excess, and pending such reimbursement, such amount shall be deemed to be an amount payable by the applicable recipient to the applicable Canadian Loan Party.</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Conversion/Continuation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2.17 and so long as no Default or Event of Default shall have occurred and then be continuing, the Borrower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option:</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convert at any time all or any part of any Term Loan equal to $2,000,000 and integral multiples of $500,000 in excess of that amount from one Type of Loan to another Type of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 Term Benchmark Loan may only be converted on the expiration of the Interest Period applicable to such Term Benchmark Loan unless the Borrower shall pay all amounts due under Section 2.17 in connection with any such conversion;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ind w:left="660" w:firstLine="1292"/>
        <w:spacing w:after="0" w:line="282" w:lineRule="auto"/>
        <w:tabs>
          <w:tab w:leader="none" w:pos="26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Term Benchmark Loan, to continue all or any portion of such Loan equal to $2,000,000 and integral multiples of $500,000 in excess of that amount as a Term Benchmark Loan.</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a Conversion/Continuation Notice to Administrative Agent no later than 10:00 a.m. (New York City time) at least one Business Day in advance of the proposed conversion date (in the case of a conversion to an ABR Loan) and at least three U.S. Government Securities Business Days in advance of the proposed conversion/continuation date (in the case of a conversion to, or a continuation of, a Term Benchmark Loan). Except as otherwise provided herein, a Conversion/Continuation Notice for conversion to, or continuation of, any Term Benchmark Loans (or telephonic notice in lieu thereof) shall be irrevocable, and the Borrower shall be bound to effect a conversion or continuation in accordance therewith.</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2.9 Default Interest</w:t>
      </w:r>
      <w:r>
        <w:rPr>
          <w:rFonts w:ascii="Times New Roman" w:cs="Times New Roman" w:eastAsia="Times New Roman" w:hAnsi="Times New Roman"/>
          <w:sz w:val="18"/>
          <w:szCs w:val="18"/>
          <w:color w:val="auto"/>
        </w:rPr>
        <w:t>. Automatically upon the occurrence and during the continuance of an Event of Default under Sections 8.1(a), 8.1(f)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8.1(g) and, upon the notice from the Administrative Agent following the occurrence and during the continuation of any other Event of Default, the principal amount of all Loans outstanding and, to the extent permitted by applicable law, any interest payments on the Loans not paid when due and any fees and other amounts then due and payable hereunder, shall thereafter bear interest (including post-petition interest in any proceeding under the Bankruptcy Code or other applicable bankruptcy laws) payable on demand at a rate that is 2% per annum in excess of the interest rate otherwise payable hereunder with respect to the applicable Loans (or, in the case of any such fees and other amounts, at a rate which is 2% per annum in excess of the interest rate otherwise payable hereunder for ABR Loans; provided, in the case of Term Benchmark Loans, upon the expiration of the Interest Period in effect at the time any such increase in interest rate is effective such Term Benchmark Loans shall thereupon become ABR Loans and shall thereafter bear interest payable upon demand at a rate which is 2% per annum in excess of the interest rate otherwise payable hereunder for ABR Loans. Payment or acceptance of the increased rates of interest provided for in this Section 2.9 is not a permitted alternative to timely payment and shall not constitute a waiver of any Event of Default or otherwise prejudice or limit any rights or remedies of Administrative Agent, Collateral Agent or any Lender.</w:t>
      </w:r>
    </w:p>
    <w:p>
      <w:pPr>
        <w:spacing w:after="0" w:line="18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00" w:hanging="596"/>
        <w:spacing w:after="0"/>
        <w:tabs>
          <w:tab w:leader="none" w:pos="1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Arranger and Agents such other fees and other payments in the amounts and at the times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agreed upon.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2.11 Scheduled Term Loan Payments</w:t>
      </w:r>
      <w:r>
        <w:rPr>
          <w:rFonts w:ascii="Times New Roman" w:cs="Times New Roman" w:eastAsia="Times New Roman" w:hAnsi="Times New Roman"/>
          <w:sz w:val="18"/>
          <w:szCs w:val="18"/>
          <w:color w:val="auto"/>
        </w:rPr>
        <w:t>. The principal amounts of the Term Loans shall be repaid in consecutive quarterly installments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equal to 0.25% of the principal amount of the Term Loans outstanding on the Closing Date, on the last day of each Fiscal Quarter commencing March 31, 2022, with the balance of the Term Loans payable on the Maturity Date (each of such consecutive quarterly installments and the payment of the balances on the Maturity Date, an “</w:t>
      </w:r>
      <w:r>
        <w:rPr>
          <w:rFonts w:ascii="Times New Roman" w:cs="Times New Roman" w:eastAsia="Times New Roman" w:hAnsi="Times New Roman"/>
          <w:sz w:val="18"/>
          <w:szCs w:val="18"/>
          <w:b w:val="1"/>
          <w:bCs w:val="1"/>
          <w:color w:val="auto"/>
        </w:rPr>
        <w:t>Installment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(y) such Installments shall be reduced pro rata in connection with any voluntary or mandatory prepayments of the Term Loans in accordance with Sections 2.12, 2.13 and 2.14, as applicable; and (z) the Term Loans, together with all other amounts owed hereunder with respect thereto, shall, in any event be paid in full no later than the Maturity Date.</w:t>
      </w:r>
    </w:p>
    <w:p>
      <w:pPr>
        <w:spacing w:after="0" w:line="17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Voluntary Prepayments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00" w:hanging="596"/>
        <w:spacing w:after="0"/>
        <w:tabs>
          <w:tab w:leader="none" w:pos="1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and from time to time (and subject to Section 2.21):</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0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ABR Loans, the Borrower may prepay any such Loans on any Business Day in whole or in part, in an aggregate minimum amount of $2,000,000 and integral multiples of $500,000 in excess of that amount;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Benchmark Loans, the Borrower may prepay any such Loans on any Business Day in whole or in part in an aggregate minimum amount of $2,000,000 and integral multiples of $500,000 in excess of that amount;</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one Business Day’s prior written or telephonic notice in the case of ABR Loans;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three U.S. Government Securities Business Days’ prior written or telephonic notice in the case of Term Benchmark Loans;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4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five U.S. Government Securities Business Days’ prior written or telephonic notice in the case of RFR Loans (if any, subject to Section 2.7(a)(iii));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case given to Administrative Agent by 12:00 p.m. (New York City time) on the date required and, if given by telephone, promptly confirmed in writing to Administrative Agent (and Administrative Agent will promptly notify each Lender). Upon the giving of any such notice (which notice shall be irrevocable, except that if a notice of prepayment is given conditioned upon a refinancing (in whole or in part) of the Obligations and such financing is not consummated, then such notice of prepayment may be revoked), the principal amount of the Loans specified in such notice shall become due and payable on the prepayment date specified therein. Any such voluntary prepayment shall be applied as specified in Section 2.14(a).</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Mandatory Prepayments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firstLine="1304"/>
        <w:spacing w:after="0" w:line="253" w:lineRule="auto"/>
        <w:tabs>
          <w:tab w:leader="none" w:pos="19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later than the fifth Business Day following the date of receipt by the Company or any of its Subsidiaries of any Net Asset Sale Proceeds of Term Loan Priority Collateral (or, after the ABL Obligations Payment Date, Net Asset Sale Proceeds of any Collateral), the Company shall offer to prepay the Loans as set forth in Sections 2.14(b) and 2.14(d) in an aggregate amount equal to the Applicable Net Cash Proceeds Percentage of such Net Asset Sale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no Default or Event of Default shall have occurred and be continuing on or as of such fifth Business Day, the Company shall have the option (exercisable upon written notice thereof to Administrative Agent on or prior to such fifth Business Day), directly or through one or more of its Subsidiaries, to invest Net Asset Sale Proceeds in long-term productive assets of the general type used in the business of the Company and its Subsidiaries, to make capital expenditures in connection with improvement of capital assets of the Company or any of its Subsidiaries or to make any Permitted Acquisition or any Investment permitted pursuant to Section 6.7, in each case within 365 days of receipt thereof (or, if the Company or the applicable Subsidiary of the Company has contractually committed within 365 days of receipt thereof to so invest or apply such Net Asset Sale Proceeds, within the later of 365 days after receipt of such Net Asset Sale Proceeds and 180 days after entering into such contractual commitment) (it being expressly agreed that any Net Asset Sale Proceeds not so invested or applied shall be immediately offered to be applied as set forth in Sections 2.14(b) and 2.14(d)).</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No later than the fifth Business Day following the date of receipt by the Company or any of its Subsidiaries, or Administrative Agent as loss payee, of any Net Insurance/Condemnation Proceeds received with respect to Term Loan Priority Collateral (or, after the ABL Obligations Payment Date, Net Insurance/Condemnation Proceeds of any Collateral), the Company shall offer to prepay the Loans as set forth in Sections 2.14(b) and 2.14(d) in an aggregate amount equal to the Applicable Net Cash Proceeds Percentage of such Net Insurance/Condemnation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no Default or Event of Default shall have occurred and be continuing on or as of such fifth Business Day, the Company shall have the option (exercisable upon written notice thereof to Administrative Agent on or prior to such fifth Business Day), directly or through one or more of its Subsidiaries to invest such Net Insurance/Condemnation Proceeds in long-term productive assets of the general type used in the business of the Company and its Subsidiaries, which investment may include the repair, restoration or replacement of the applicable assets thereof, to make capital expenditures in connection with improvement of capital assets of Company or any of its Subsidiaries or to make any Permitted Acquisition or any Investment permitted pursuant to Section 6.7, in each case within 365 days of receipt thereof (or, if the Company or the applicable Subsidiary of the Company has contractually committed within 365 days of receipt thereof to so invest or apply such Net Insurance/Condemnation Proceedings, within the later of 365 days after receipt of such Net Insurance/Condemnation Proceedings and 180 days after entering into such contractual commitment) (it being expressly agreed that any Net Insurance/Condemnation Proceeds not so invested or applied shall immediately be offered to be applied as set forth in Sections 2.14(b) and 2.14(d)).</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Subject to the Intercreditor Agreement, no later than the fifth Business Day following the date of receipt by the Company or any of its Subsidiaries of any Cash proceeds from the incurrence of any Indebtedness of the Company or any of its Subsidiaries (other than with respect to any Indebtedness permitted to be incurred pursuant to Section 6.1), the Company shall, in each case, offer to prepay the Loans as set forth in Sections 2.14(b) and 2.14(d) in an aggregate amount equal to 100% of such proceeds, net of underwriting discounts and commissions and other reasonable costs and expenses associated therewith, including reasonable legal fees and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1304"/>
        <w:spacing w:after="0" w:line="255" w:lineRule="auto"/>
        <w:tabs>
          <w:tab w:leader="none" w:pos="203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Excess Cash Flow</w:t>
      </w:r>
      <w:r>
        <w:rPr>
          <w:rFonts w:ascii="Times New Roman" w:cs="Times New Roman" w:eastAsia="Times New Roman" w:hAnsi="Times New Roman"/>
          <w:sz w:val="18"/>
          <w:szCs w:val="18"/>
          <w:color w:val="auto"/>
        </w:rPr>
        <w:t>. Subject to the Intercreditor Agreement, in the event that there shall be Consolidated Excess Cash Flow for any Fiscal Year (commencing with Fiscal Year 2022), the Company shall, no later than the fifth Business Day after the date on which the financial statements with respect to such Fiscal Year are required to be delivered pursuant to Section 5.1(c), offer to prepay the Loans as set forth in Sections 2.14(b) and 2.14(d) in an aggregate amount equal to the excess of (i) the Applicable ECF Percentage of such Consolidated Excess Cash Flow over</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not financed with Indebtedness, the aggregate amount of all voluntary prepayments of Term Loans (including Credit Party Purchases) made during such Fiscal Year (it being understood that the aggregate amount of any such prepayment shall be the amount of the Borrower’s cash payment in respect of such prepayment) (the “</w:t>
      </w:r>
      <w:r>
        <w:rPr>
          <w:rFonts w:ascii="Times New Roman" w:cs="Times New Roman" w:eastAsia="Times New Roman" w:hAnsi="Times New Roman"/>
          <w:sz w:val="18"/>
          <w:szCs w:val="18"/>
          <w:b w:val="1"/>
          <w:bCs w:val="1"/>
          <w:color w:val="auto"/>
        </w:rPr>
        <w:t>Voluntary Term Loan Prepayments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offer to prepay under this Section 2.13(d) shall be required unless the principal amount of Term Loans that would be required to be prepaid exceeds the greater of $15,000,000 and 15% of Consolidated Adjusted EBITDA of the Company for the most recently ended Test Period (and, in such case, only the amount in excess of such greater amount shall be required to be prepaid).</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Certificate</w:t>
      </w:r>
      <w:r>
        <w:rPr>
          <w:rFonts w:ascii="Times New Roman" w:cs="Times New Roman" w:eastAsia="Times New Roman" w:hAnsi="Times New Roman"/>
          <w:sz w:val="18"/>
          <w:szCs w:val="18"/>
          <w:color w:val="auto"/>
        </w:rPr>
        <w:t>. Concurrently with any prepayment of the Loans pursuant to Sections 2.13(a) through 2.13(d), the Company shall deliver to Administrative Agent a certificate of an Authorized Officer demonstrating the calculation of the amount of the applicable net proceeds or Consolidated Excess Cash Flow as the case may be. In the event that the Company shall subsequently determine that the actual amount received exceeded the amount set forth in such certificate, the Company shall promptly make an additional prepayment of the Loans and the Company shall concurrently therewith deliver to Administrative Agent a certificate of an Authorized Officer demonstrating the derivation of such excess.</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Application of Prepayments/Reductions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9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Voluntary Prepayments</w:t>
      </w:r>
      <w:r>
        <w:rPr>
          <w:rFonts w:ascii="Times New Roman" w:cs="Times New Roman" w:eastAsia="Times New Roman" w:hAnsi="Times New Roman"/>
          <w:sz w:val="18"/>
          <w:szCs w:val="18"/>
          <w:color w:val="auto"/>
        </w:rPr>
        <w:t>. Any prepayment of any Loan pursuant to Section 2.12 shall be applied to prepay Term Loans as directed by the Borrower to the remaining scheduled Installments of principal of the Term Loans, or in the absence of such direction on a pro rata basis to the remaining scheduled Installments of principal of the Term Loans.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Mandatory Prepayments</w:t>
      </w:r>
      <w:r>
        <w:rPr>
          <w:rFonts w:ascii="Times New Roman" w:cs="Times New Roman" w:eastAsia="Times New Roman" w:hAnsi="Times New Roman"/>
          <w:sz w:val="18"/>
          <w:szCs w:val="18"/>
          <w:color w:val="auto"/>
        </w:rPr>
        <w:t>. Subject to Section 2.14(d), any prepayment of any Loan pursuant to Section 2.13 shall be applied to prepay Term Loans on a pro rata basis to the remaining scheduled Installments of principal of the Term Loans (excluding the payment payable on the Maturity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Loans to ABR Loans and Term Benchmark Loans</w:t>
      </w:r>
      <w:r>
        <w:rPr>
          <w:rFonts w:ascii="Times New Roman" w:cs="Times New Roman" w:eastAsia="Times New Roman" w:hAnsi="Times New Roman"/>
          <w:sz w:val="18"/>
          <w:szCs w:val="18"/>
          <w:color w:val="auto"/>
        </w:rPr>
        <w:t>. Any prepayment thereof shall be applied first to ABR Loans to the full extent thereof before application to Term Benchmark Loans, in each case in a manner which minimizes the amount of any payments required to be made by the Borrower pursuant to Section 2.17(c).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firstLine="1304"/>
        <w:spacing w:after="0" w:line="253" w:lineRule="auto"/>
        <w:tabs>
          <w:tab w:leader="none" w:pos="19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Opt-out</w:t>
      </w:r>
      <w:r>
        <w:rPr>
          <w:rFonts w:ascii="Times New Roman" w:cs="Times New Roman" w:eastAsia="Times New Roman" w:hAnsi="Times New Roman"/>
          <w:sz w:val="18"/>
          <w:szCs w:val="18"/>
          <w:color w:val="auto"/>
        </w:rPr>
        <w:t>. With respect to any prepayment of Term Loans pursuant to Section 2.13, any Lender, at its option, may elect not to accept such prepayment. Upon the dates set forth in Section 2.13 for any such prepayment of Term Loans, the Borrower shall notify the Administrative Agent of the amount that is available to prepay the Term Loans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Promptly after the date of receipt of such notice, the Administrative Agent shall provide written notice (the “</w:t>
      </w:r>
      <w:r>
        <w:rPr>
          <w:rFonts w:ascii="Times New Roman" w:cs="Times New Roman" w:eastAsia="Times New Roman" w:hAnsi="Times New Roman"/>
          <w:sz w:val="18"/>
          <w:szCs w:val="18"/>
          <w:b w:val="1"/>
          <w:bCs w:val="1"/>
          <w:color w:val="auto"/>
        </w:rPr>
        <w:t>First Offer</w:t>
      </w:r>
      <w:r>
        <w:rPr>
          <w:rFonts w:ascii="Times New Roman" w:cs="Times New Roman" w:eastAsia="Times New Roman" w:hAnsi="Times New Roman"/>
          <w:sz w:val="18"/>
          <w:szCs w:val="18"/>
          <w:color w:val="auto"/>
        </w:rPr>
        <w:t>”) to the Lenders of the amount available to prepay the Term Loans. Any Lender declining such prepayment (a “</w:t>
      </w:r>
      <w:r>
        <w:rPr>
          <w:rFonts w:ascii="Times New Roman" w:cs="Times New Roman" w:eastAsia="Times New Roman" w:hAnsi="Times New Roman"/>
          <w:sz w:val="18"/>
          <w:szCs w:val="18"/>
          <w:b w:val="1"/>
          <w:bCs w:val="1"/>
          <w:color w:val="auto"/>
        </w:rPr>
        <w:t>Declining Lender</w:t>
      </w:r>
      <w:r>
        <w:rPr>
          <w:rFonts w:ascii="Times New Roman" w:cs="Times New Roman" w:eastAsia="Times New Roman" w:hAnsi="Times New Roman"/>
          <w:sz w:val="18"/>
          <w:szCs w:val="18"/>
          <w:color w:val="auto"/>
        </w:rPr>
        <w:t>”) shall give written notice thereof to the Administrative Agent by 11:00 a.m. no later than two Business Days after the date of such notice from the Administrative Agent. On such date the Administrative Agent shall then provide written notice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to the Lenders other than the Declining Lenders (such Lenders being the “</w:t>
      </w:r>
      <w:r>
        <w:rPr>
          <w:rFonts w:ascii="Times New Roman" w:cs="Times New Roman" w:eastAsia="Times New Roman" w:hAnsi="Times New Roman"/>
          <w:sz w:val="18"/>
          <w:szCs w:val="18"/>
          <w:b w:val="1"/>
          <w:bCs w:val="1"/>
          <w:color w:val="auto"/>
        </w:rPr>
        <w:t>Accepting Lenders</w:t>
      </w:r>
      <w:r>
        <w:rPr>
          <w:rFonts w:ascii="Times New Roman" w:cs="Times New Roman" w:eastAsia="Times New Roman" w:hAnsi="Times New Roman"/>
          <w:sz w:val="18"/>
          <w:szCs w:val="18"/>
          <w:color w:val="auto"/>
        </w:rPr>
        <w:t>”) of the additional amount available (due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Declining Lenders’ declining such prepayment) to prepay Term Loans owing to such Accepting Lenders, such available amount to be allocated on a pro rata basis among the Accepting Lenders that accept the Second Offer. Any Lender declining prepayment pursuant to such Second Offer shall give written notice thereof to the Administrative Agent by 11:00 a.m. no later than one Business Day after the date of such notice of a Second Offer. The Borrower shall prepay the Loans as set forth in Section 2.13 within one Business Day after its receipt of notice from the Administrative Agent of the aggregate amount of such prepayment. Amounts remaining after the allocation of accepted amounts with respect to the First Offer and the Second Offer to Accepting Lenders shall be retained by the Borrower (such amounts, the “</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General Provisions Regarding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1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(whether of principal, interest, fees or other Obligations) prior to 1:00 p.m.,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except that payments pursuant to Sections 2.17, 2.18, 2.19 and 10.3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shall be accompanied by payment of accrued interest on the principal amount being repaid or prepaid.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1304"/>
        <w:spacing w:after="0" w:line="253" w:lineRule="auto"/>
        <w:tabs>
          <w:tab w:leader="none" w:pos="19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by exercising any right of set off or counterclaim or otherwise, obtain payment in respect of any principal of or interest on any of its Term Loans resulting in such Lender receiving payment of a greater proportion of the aggregate amount of its Term Loans and accrued interest thereon than the proportion received by any other Lender, then the Lender receiving such greater proportion shall purchase (for cash at face value) participations in the Term Loans of other Lenders to the extent necessary so that the benefit of all such payments shall be shared by the Lenders ratably in accordance with the aggregate amount of principal of and accrued interest on their respective Term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Term Loans to any assignee or participant, other than to the Borrower or any Subsidiary or Affiliate thereof (as to which the provisions of this paragraph shall apply) except that the provisions of this Section 2.15(c) shall not apply to a transfer to a Credit Party pursuant to Section 10.6(i).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2.1, 2.4, 2.15(d), 10.3 or 10.4,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have occurred and not otherwise been waived, and the maturity of the Obligations shall have been accelerated pursuant to Section 8.1, all payments or proceeds received by Agents hereunder in respect of any of the Obligations, shall be applied in accordance with the following order of priority: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that portion of the Obligations constituting fees, indemnities, expenses and other amounts payable to the Agents,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of costs and expenses of any sale, collection or other realization upon all or any part of the Collateral, including reasonable compensation to the Agents and their agents and counsel, and all other expenses, liabilities and advances made or incurred by the Agents in connection therewith, and all other amounts for which the Agents are entitled to indemnification under the Credit Documents (in their capacities as an Agent and not as a Lender) and all advances made by the Agents under the Credit Documents for the account of the applicable Credit Party, and to the payment of all costs and expenses paid or incurred by any Agent in connection with the exercise of any right or remedy under this Agreement or any of the Collateral Documents, all in accordance with the terms hereof or thereof;</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extent of any excess of such proceeds, ratably to pay interest on and then principal of any portion of the Term Loans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may have advanced on behalf of any Lender for which Administrative Agent has not then been reimbursed by such Lender or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extent of any excess of such proceeds, to the payment of all other Obligations for the ratable benefit of the Lenders; and</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extent of any excess of such proceeds, to the payment to or upon the order of the Company or to whomsoever may be lawfully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the same or as a court of competent jurisdiction may direct.</w:t>
      </w:r>
    </w:p>
    <w:p>
      <w:pPr>
        <w:spacing w:after="0" w:line="15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Making or Maintaining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00" w:hanging="596"/>
        <w:spacing w:after="0"/>
        <w:tabs>
          <w:tab w:leader="none" w:pos="1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(ii) through (vii) of this Section 2.17(a), if:</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3295"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prior to the commencement of any Interest Period for a Term Benchmark Loan that adequate and reasonable means do not exist for ascertaining the Adjusted Term SOFR Rate (including because the Term SOFR Reference Rate is not available or published on a current basis), for such Interest Period; or</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289"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Requisite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8" w:name="page119"/>
    <w:bookmarkEnd w:id="118"/>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and (y) the Borrower delivers a new Funding Notice or Conversion/Continuation Notice, as applicable, any Conversion/Continuation Notice that requests the conversion of any Loan to, or continuation of any Loan as, a Term Benchmark Loan and any Funding Notice that requests a Term Benchmark Loan shall instead be deemed to be a request for (1) an RFR Loan so long as the Adjusted Daily Simple SOFR is not also subject to the same circumstances as the Adjusted Term SOFR Rate under Section 2.17(a)(i)(A) or (a)(i)(B) above or (2) an ABR Loan if the Adjusted Daily Simple SOFR also is subject to the same circumstances as the Adjusted Term SOFR Rate under Section 2.17(a)(i)(A) or (a)(i)(B) above; provided that if the circumstances giving rise to such notice affect only one Type of Loan, then the other Type of Loans shall be permitted. Furthermore, if any Term Benchmark Loan is outstanding on the date of the Borrower’s receipt of the notice from the Administrative Agent referred to in this Section 2.17(a) with respect to the Relevant Rate applicable to such Term Benchmark Loan, then until (x) the Administrative Agent notifies the Borrower and the Lenders that the circumstances giving rise to such notice no longer exist with respect to the relevant Benchmark and (y) the Borrower delivers a new Funding Notice or Conversion/Continuation Notice, as applicable, any Term Benchmark Loan shall on the last day of the Interest Period applicable to such Loan, be converted by the Administrative Agent to, and shall constitute, (x) an RFR Loan so long as the Adjusted Daily Simple SOFR is not also subject to the same circumstances as the Adjusted Term SOFR Rate under Section 2.17(a)(i)(A) or (a)(i)(B) above, on such day, or (y) an ABR Loan if the Adjusted Daily Simple SOFR also is subject to the same circumstances as the Adjusted Term SOFR Rate under Section 2.17(a)(i)(A) or (a)(i)(B) above, on such day.</w:t>
      </w:r>
    </w:p>
    <w:p>
      <w:pPr>
        <w:spacing w:after="0" w:line="195" w:lineRule="exact"/>
        <w:rPr>
          <w:sz w:val="20"/>
          <w:szCs w:val="20"/>
          <w:color w:val="auto"/>
        </w:rPr>
      </w:pPr>
    </w:p>
    <w:p>
      <w:pPr>
        <w:jc w:val="both"/>
        <w:ind w:left="4" w:firstLine="1292"/>
        <w:spacing w:after="0" w:line="261" w:lineRule="auto"/>
        <w:tabs>
          <w:tab w:leader="none" w:pos="192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Credit Document, if a Benchmark Transition Event, and its related Benchmark Replacement Date have occurred prior to the Reference Time in respect of any setting of the then-current Benchmark, then</w:t>
      </w:r>
    </w:p>
    <w:p>
      <w:pPr>
        <w:jc w:val="both"/>
        <w:ind w:left="4" w:hanging="4"/>
        <w:spacing w:after="0" w:line="251" w:lineRule="auto"/>
        <w:tabs>
          <w:tab w:leader="none" w:pos="2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Replacement is determined in accordance with clause (1) of the definition of “Benchmark Replacement” with respect to Dollars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with respect to the Agreed Currency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Requisite Lenders.</w:t>
      </w:r>
    </w:p>
    <w:p>
      <w:pPr>
        <w:spacing w:after="0" w:line="192"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01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Credit Document,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9" w:name="page120"/>
    <w:bookmarkEnd w:id="119"/>
    <w:p>
      <w:pPr>
        <w:jc w:val="both"/>
        <w:ind w:left="-460" w:firstLine="1292"/>
        <w:spacing w:after="0" w:line="254" w:lineRule="auto"/>
        <w:tabs>
          <w:tab w:leader="none" w:pos="15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and the Lenders of (A) any occurrence of a Benchmark Transition Event, (B) the implementation of any Benchmark Replacement, (C) the effectiveness of any Benchmark Replacement Conforming Changes, (D) the removal or reinstatement of any tenor of a Benchmark pursuant to clause (vi) below and (E) the commencement or conclusion of any Benchmark Unavailability Period. Any determination, decision or election that may be made by the Administrative Agent or, if applicable, any Lender (or group of Lenders) pursuant to this Section 2.17,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2.17.</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5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Credit Document, at any time (including in connection with the implementation of a Benchmark Replacement), (A)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0" w:name="page121"/>
    <w:bookmarkEnd w:id="120"/>
    <w:p>
      <w:pPr>
        <w:jc w:val="both"/>
        <w:ind w:firstLine="1292"/>
        <w:spacing w:after="0" w:line="252" w:lineRule="auto"/>
        <w:tabs>
          <w:tab w:leader="none" w:pos="201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 any request for a Term Benchmark borrowing denominated in Dollars into a request for a borrowing of or conversion to (1) an RFR borrowing so long as the Adjusted Daily Simple SOFR is not the subject of a Benchmark Transition Event or (2) an ABR borrowing if the Adjusted Daily Simple SOFR is the subject of a Benchmark Transition Event or (B) any such request for an RFR borrowing into a request for an ABR borrowing.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the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2.17, (I)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 an ABR Loan if the Adjusted Daily Simple SOFR is the subject of a Benchmark Transition Event on such day and (II) any RFR Loan shall on and from such day be converted by the Administrative Agent to, and shall constitute, an ABR Loan.</w:t>
      </w:r>
    </w:p>
    <w:p>
      <w:pPr>
        <w:spacing w:after="0" w:line="195" w:lineRule="exact"/>
        <w:rPr>
          <w:rFonts w:ascii="Times New Roman" w:cs="Times New Roman" w:eastAsia="Times New Roman" w:hAnsi="Times New Roman"/>
          <w:sz w:val="18"/>
          <w:szCs w:val="18"/>
          <w:color w:val="auto"/>
        </w:rPr>
      </w:pPr>
    </w:p>
    <w:p>
      <w:pPr>
        <w:ind w:left="1260" w:hanging="616"/>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596"/>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Breakage or Non-Commencement of Interest Periods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92"/>
        <w:spacing w:after="0" w:line="255" w:lineRule="auto"/>
        <w:tabs>
          <w:tab w:leader="none" w:pos="19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the payment of any principal of any Term Benchmark Loan other than on the last day of an Interest Period applicable thereto (including as a result of an Event of Default or as a result of an optional or mandatory prepayment of Loans),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and is revoked in accordance herewith), or (D) the assignment of any Term Benchmark Loan other than on the last day of the Interest Period applicable thereto as a result of a request by the Borrower pursuant to Section 2.20, then, in any such event, the Borrower shall compensate each Lender for the loss, cost and expense attributable to such event.</w:t>
      </w:r>
    </w:p>
    <w:p>
      <w:pPr>
        <w:spacing w:after="0" w:line="188" w:lineRule="exact"/>
        <w:rPr>
          <w:rFonts w:ascii="Times New Roman" w:cs="Times New Roman" w:eastAsia="Times New Roman" w:hAnsi="Times New Roman"/>
          <w:sz w:val="18"/>
          <w:szCs w:val="18"/>
          <w:color w:val="auto"/>
        </w:rPr>
      </w:pPr>
    </w:p>
    <w:p>
      <w:pPr>
        <w:jc w:val="both"/>
        <w:ind w:firstLine="1292"/>
        <w:spacing w:after="0" w:line="256" w:lineRule="auto"/>
        <w:tabs>
          <w:tab w:leader="none" w:pos="20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RFR Loans (if any, subject to Section 2.7(a)(iii)), in the event of (A) the payment of any principal of any RFR Loan other than on the Interest Payment Date applicable thereto (including as a result of an Event of Default or an optional or mandatory prepayment of Loans), (B) the failure to borrow or prepay any RFR Loan on the date specified in any notice delivered pursuant hereto (regardless of whether such notice may be revoked and is revoked in accordance herewith), or (C) the assignment of any RFR Loan other than on the Interest Payment Date applicable thereto as a result of a request by the Borrower pursuant to Section 2.20, then, in any such event, the Borrower shall compensate each Lender for the loss, cost and expense attributable to such event.</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9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Increased Costs; Capital Adequacy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21" w:name="page122"/>
    <w:bookmarkEnd w:id="121"/>
    <w:p>
      <w:pPr>
        <w:ind w:left="1900" w:hanging="596"/>
        <w:spacing w:after="0"/>
        <w:tabs>
          <w:tab w:leader="none" w:pos="1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applicable offshore interbank market any other condition affecting this Agreement or Loans made by such Lender; or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8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on its loans, loan principal, letters of credit, commitments, or other obligations, or its deposits, reserves, other liabilities or capital attributable thereto (other than (A) Indemnified Taxes and (B) Other Connection Taxes on gross or net income, profits or revenue (including value-added or similar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or maintaining any Loan (or of maintaining its obligation to make any such Loan) or to reduce the amount of any sum received or receivable by such Recipient hereunder (whether of principal, interest or otherwise), then the Borrower will pay to such Recipient, as the case may be, such additional amount or amounts as will compensate such Recipient, as the case may be, for such additional costs incurred or reduction suffered.</w:t>
      </w:r>
    </w:p>
    <w:p>
      <w:pPr>
        <w:spacing w:after="0" w:line="180" w:lineRule="exact"/>
        <w:rPr>
          <w:sz w:val="20"/>
          <w:szCs w:val="20"/>
          <w:color w:val="auto"/>
        </w:rPr>
      </w:pPr>
    </w:p>
    <w:p>
      <w:pPr>
        <w:jc w:val="both"/>
        <w:ind w:firstLine="1304"/>
        <w:spacing w:after="0" w:line="256" w:lineRule="auto"/>
        <w:tabs>
          <w:tab w:leader="none" w:pos="20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Change in Law regarding capital requirements or liquidity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as the case may be,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as the case may be, the amount shown as due on any such certificate within 10 days after receipt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Taxes; Withholding,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ind w:firstLine="1304"/>
        <w:spacing w:after="0" w:line="255" w:lineRule="auto"/>
        <w:tabs>
          <w:tab w:leader="none" w:pos="21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Each payment by any Credit Party under any Credit Document shall be made without deduction or withholding for any Taxes, unless such deduction or withholding is required by applicable law. If any Withholding Agent determines, in its sole discretion exercised in good faith, that it is so required to deduct or withhold Taxes, then such Withholding Agent may so deduct or withhold and shall timely pay the full amount of such deducted or withheld Taxes to the relevant Governmental Authority in accordance with applicable law. If such Taxes are Indemnified Taxes, then the amount payable by such Credit Party shall be increased as necessary so that, net of such deduction or withholding (including any deduction or withholding applicable to additional amounts payable under this Section 2.19(a)), the applicable Recipient receives the amount it would have received had no such deduction or withholding been made.</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21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any Credit Party to a Governmental Authority pursuant to this Section 2.19,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Credit Parties</w:t>
      </w:r>
      <w:r>
        <w:rPr>
          <w:rFonts w:ascii="Times New Roman" w:cs="Times New Roman" w:eastAsia="Times New Roman" w:hAnsi="Times New Roman"/>
          <w:sz w:val="18"/>
          <w:szCs w:val="18"/>
          <w:color w:val="auto"/>
        </w:rPr>
        <w:t>. The Credit Parties shall jointly and severally indemnify each Recipient for the full amount of any Indemnified Taxes that are paid or payable by such Recipient or required to be withheld or deducted from a payment to a Recipient in connection with any Credit Document (including any Indemnified Taxes imposed on or attributable to amounts paid or payable under this Section 2.19(d)) and any reasonable expenses arising therefrom or with respect thereto, whether or not such Indemnified Taxes were correctly or legally imposed or asserted by the relevant Governmental Authority. The indemnity under this Section 2.19(d) shall be paid within 10 days after the Recipient delivers to any Credit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and the Collateral Agent for the full amount of any Taxes (but, in the case of any Indemnified Taxes, only to the extent that any Credit Party has not already indemnified the Administrative Agent or the Collateral Agent for such Indemnified Taxes and without limiting the obligation of the Credit Parties to do so) attributable to such Lender that are paid or payable by the Administrative Agent or the Collateral Agent in connection with any Credit Document and any reasonable expenses arising therefrom or with respect thereto, whether or not such Taxes were correctly or legally imposed or asserted by the relevant Governmental Authority. The indemnity under this Section 2.19(e) shall be paid within 10 days after the Administrative Agent or the Collateral Agent delivers to the applicable Lender a certificate stating the amount of Taxes so paid or payable by the Administrative Agent or the Collateral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Section 2.19(e).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1304"/>
        <w:spacing w:after="0" w:line="252" w:lineRule="auto"/>
        <w:tabs>
          <w:tab w:leader="none" w:pos="19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any applicable withholding Tax with respect to any payments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2.19(f)(ii)(A) through (E) below) shall not be required if in the Lender’s judgment such completion, execution or submission would subject such Lender to any material unreimbursed cost or expense or would materially prejudice the legal or commercial position of such Lender. Upon the reasonable request of such Borrower or the Administrative Agent, any Lender shall update any form or certification previously delivered pursuant to this Section 2.19(f). If any form or certification previously delivered pursuant to this Section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w:t>
      </w:r>
    </w:p>
    <w:p>
      <w:pPr>
        <w:spacing w:after="0" w:line="19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any Lender with respect to such Borrower shall, if it is legally eligible to do so, deliver to such Borrower and the Administrative Agent (in such number of copies reasonably requested by such Borrower and the Administrative Agent) on or prior to the date on which such Lender becomes a party hereto, duly completed and executed copies of whichever of the following is applicable:</w:t>
      </w:r>
    </w:p>
    <w:p>
      <w:pPr>
        <w:spacing w:after="0" w:line="179" w:lineRule="exact"/>
        <w:rPr>
          <w:rFonts w:ascii="Times New Roman" w:cs="Times New Roman" w:eastAsia="Times New Roman" w:hAnsi="Times New Roman"/>
          <w:sz w:val="18"/>
          <w:szCs w:val="18"/>
          <w:color w:val="auto"/>
        </w:rPr>
      </w:pPr>
    </w:p>
    <w:p>
      <w:pPr>
        <w:ind w:left="1300" w:firstLine="1300"/>
        <w:spacing w:after="0" w:line="282" w:lineRule="auto"/>
        <w:tabs>
          <w:tab w:leader="none" w:pos="3355"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that is a U.S. Person, IRS Form W-9 certifying that payments made to such Lender under the Credit Documents are exempt from U.S. Federal backup withholding tax;</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328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the benefits of an income tax treaty to which the United States is a party (1) with respect to payments of interest under any Credit Document, IRS Form W-8BEN or W-8BEN-E establishing an exemption from, or reduction of, U.S. Federal withholding Tax pursuant to the “interest” article of such tax treaty and (2) with respect to any other applicable payments under this Agreement, IRS Form W-8BEN or W-8BEN-E establishing an exemption from, or reduction of, U.S. Federal withholding Tax pursuant to the “business profits” or “other income” article of such tax treaty;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left="180" w:right="20" w:firstLine="1300"/>
        <w:spacing w:after="0" w:line="282" w:lineRule="auto"/>
        <w:tabs>
          <w:tab w:leader="none" w:pos="238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for whom payments under this Agreement constitute income that is effectively connected with the conduct of a trade or business in the United States by such Lender, IRS Form W-8ECI;</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21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the benefits of the exemption for portfolio interest under Section 881(c) of the Internal Revenue Code both (1) IRS Form W-8BEN or W-8BEN-E and (2) a certificate substantially in the form of Exhibit F (a “</w:t>
      </w:r>
      <w:r>
        <w:rPr>
          <w:rFonts w:ascii="Times New Roman" w:cs="Times New Roman" w:eastAsia="Times New Roman" w:hAnsi="Times New Roman"/>
          <w:sz w:val="18"/>
          <w:szCs w:val="18"/>
          <w:b w:val="1"/>
          <w:bCs w:val="1"/>
          <w:color w:val="auto"/>
        </w:rPr>
        <w:t>U.S. Tax Certificate</w:t>
      </w:r>
      <w:r>
        <w:rPr>
          <w:rFonts w:ascii="Times New Roman" w:cs="Times New Roman" w:eastAsia="Times New Roman" w:hAnsi="Times New Roman"/>
          <w:sz w:val="18"/>
          <w:szCs w:val="18"/>
          <w:color w:val="auto"/>
        </w:rPr>
        <w:t>”) to the effect that such Lender is not (a) a “bank” within the meaning of Section 881(c)(3)(A) of the Internal Revenue Code, (b) a “10 percent shareholder” of the Borrower within the meaning of Section 881(c)(3)(B) of the Internal Revenue Code and (c) a “controlled foreign corporation” described in Section 881(c)(3)(C) of the Internal Revenue Code;</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22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Internal Revenue Code, such Lender may provide a U.S. Tax Certificate on behalf of such partners; or</w:t>
      </w:r>
    </w:p>
    <w:p>
      <w:pPr>
        <w:spacing w:after="0" w:line="187"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26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5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Internal Revenue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2.19(f)(iii), “FATCA” shall include any amendments made to FATCA after the Closing Date.</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withholding Taxes imposed under FATCA, from and after the Closing Date, the Borrower and the Administrative Agent shall treat (and the Lenders hereby authorize the Administrative Agent to treat) the Loan as not qualifying as a “grandfathered obligation” within the meaning of Treasury Regulation Section 1.1471-2(b)(2)(i).</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5" w:name="page126"/>
    <w:bookmarkEnd w:id="125"/>
    <w:p>
      <w:pPr>
        <w:jc w:val="both"/>
        <w:ind w:firstLine="1304"/>
        <w:spacing w:after="0" w:line="253" w:lineRule="auto"/>
        <w:tabs>
          <w:tab w:leader="none" w:pos="19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2.19 (including additional amounts paid pursuant to this Section 2.19),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Section 2.19(g), in no event will any indemnified party be required to pay any amount to any indemnifying party pursuant to this Section 2.19(g) if such payment would place such indemnified party in a less favorable position (on a net after-Tax basis) than such indemnified party would have been in if the indemnification payments or additional amounts giving rise to such refund had never been paid. This Section 2.19(g) shall not be construed to require any indemnified party to make available its Tax returns (or any other information relating to its Taxes which it deems confidential) to the indemnifying party or any other Person.</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2.19 shall survive the resignation or replacement of the Administrative Agent or any assignment of rights by, or the replacement of, a Lender, the termination of the Commitments and the repayment, satisfaction or discharge of all obligations under any Credit Document.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2.20 Obligation to Mitigate</w:t>
      </w:r>
      <w:r>
        <w:rPr>
          <w:rFonts w:ascii="Times New Roman" w:cs="Times New Roman" w:eastAsia="Times New Roman" w:hAnsi="Times New Roman"/>
          <w:sz w:val="18"/>
          <w:szCs w:val="18"/>
          <w:color w:val="auto"/>
        </w:rPr>
        <w:t>. Each Lender agrees that, as promptly as practicable after the officer of such Lender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its Loans, as the case may be, becomes aware of the occurrence of an event or the existence of a condition that would entitle such Lender to receive payments under Section 2.18 or 2.19, it will, to the extent not inconsistent with the internal policies of such Lender and any applicable legal or regulatory restrictions, use reasonable efforts to (a) make, issue, fund or maintain its Credit Extensions through another office of such Lender, or (b) take such other measures as such Lender may deem reasonable, if as a result thereof the additional amounts which would otherwise be required to be paid to such Lender pursuant to Section 2.18 or 2.19 would be materially reduced and if, as determined by such Lender in its sole discretion, the making, issuing, funding or maintaining of such Loans through such other office or in accordance with such other measures, as the case may be, would not otherwise adversely affect such Loans or the interests of such Lender; provided, such Lender will not be obligated to utilize such other office pursuant to this Section 2.20 unless the Borrower agrees to pay all incremental expenses incurred by such Lender as a result of utilizing such other office as described in clause (a) above. A certificate as to the amount of any such expenses payable by the Borrower pursuant to this Section 2.20 (setting forth in reasonable detail the basis for requesting such amount) submitted by such Lender to the Borrower (with a copy to Administrative Agent)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2.21 Call Premium</w:t>
      </w:r>
      <w:r>
        <w:rPr>
          <w:rFonts w:ascii="Times New Roman" w:cs="Times New Roman" w:eastAsia="Times New Roman" w:hAnsi="Times New Roman"/>
          <w:sz w:val="18"/>
          <w:szCs w:val="18"/>
          <w:color w:val="auto"/>
        </w:rPr>
        <w:t>. In the event that (i) the Borrower voluntarily prepays or repays any Term Loans (including as a result of the incurrence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Replacement Term Loans or other Permitted Refinancing thereof) or (ii) the Borrower prepays any Term Loans pursuant to Section 2.13(c), the Borrower shall pay to the Administrative Agent, for the ratable account of each Lender, an additional prepayment premium on the principal amount of the Term Loans held by such Lender being so prepaid or repaid, as determined in accordance with the following table: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auto"/>
              <w:left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Prepayment Made During Period</w:t>
            </w:r>
          </w:p>
        </w:tc>
        <w:tc>
          <w:tcPr>
            <w:tcW w:w="6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Prepayment Premium</w:t>
            </w: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On or after the Closing Date and up to (but not including) the first anniversary</w:t>
            </w:r>
          </w:p>
        </w:tc>
        <w:tc>
          <w:tcPr>
            <w:tcW w:w="5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26"/>
        </w:trPr>
        <w:tc>
          <w:tcPr>
            <w:tcW w:w="508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of the Closing Date</w:t>
            </w:r>
          </w:p>
        </w:tc>
        <w:tc>
          <w:tcPr>
            <w:tcW w:w="680" w:type="dxa"/>
            <w:vAlign w:val="bottom"/>
            <w:tcBorders>
              <w:right w:val="single" w:sz="8" w:color="auto"/>
            </w:tcBorders>
          </w:tcPr>
          <w:p>
            <w:pPr>
              <w:spacing w:after="0"/>
              <w:rPr>
                <w:sz w:val="10"/>
                <w:szCs w:val="10"/>
                <w:color w:val="auto"/>
              </w:rPr>
            </w:pPr>
          </w:p>
        </w:tc>
        <w:tc>
          <w:tcPr>
            <w:tcW w:w="5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tcBorders>
              <w:left w:val="single" w:sz="8" w:color="auto"/>
              <w:bottom w:val="single" w:sz="8" w:color="auto"/>
            </w:tcBorders>
            <w:vMerge w:val="continue"/>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5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08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On or after the first anniversary of the Closing Date and up to</w:t>
            </w:r>
          </w:p>
        </w:tc>
        <w:tc>
          <w:tcPr>
            <w:tcW w:w="68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(but not</w:t>
            </w:r>
          </w:p>
        </w:tc>
        <w:tc>
          <w:tcPr>
            <w:tcW w:w="5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26"/>
        </w:trPr>
        <w:tc>
          <w:tcPr>
            <w:tcW w:w="508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including) the second anniversary of the Closing Date</w:t>
            </w:r>
          </w:p>
        </w:tc>
        <w:tc>
          <w:tcPr>
            <w:tcW w:w="680" w:type="dxa"/>
            <w:vAlign w:val="bottom"/>
            <w:tcBorders>
              <w:right w:val="single" w:sz="8" w:color="auto"/>
            </w:tcBorders>
          </w:tcPr>
          <w:p>
            <w:pPr>
              <w:spacing w:after="0"/>
              <w:rPr>
                <w:sz w:val="10"/>
                <w:szCs w:val="10"/>
                <w:color w:val="auto"/>
              </w:rPr>
            </w:pPr>
          </w:p>
        </w:tc>
        <w:tc>
          <w:tcPr>
            <w:tcW w:w="5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tcBorders>
              <w:left w:val="single" w:sz="8" w:color="auto"/>
              <w:bottom w:val="single" w:sz="8" w:color="auto"/>
            </w:tcBorders>
            <w:vMerge w:val="continue"/>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5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0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to the extent that any Lender is replaced or the Borrower is required to make any payment to any Lender, in each case, pursuant to Section 2.22, each applicable Lender shall be entitled to receive the applicable prepayment premium specified above in connection with any such replacement or payment, or any amendment entered into in connection with a “repricing transaction”, in each case in the amount that would have been payable in respect of the Term Loans of such Lender under this Section 2.21 had such Term Loan been the subject of a voluntary prepayment at such time.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2.22 Removal or Replacement of a Lender</w:t>
      </w:r>
      <w:r>
        <w:rPr>
          <w:rFonts w:ascii="Times New Roman" w:cs="Times New Roman" w:eastAsia="Times New Roman" w:hAnsi="Times New Roman"/>
          <w:sz w:val="18"/>
          <w:szCs w:val="18"/>
          <w:color w:val="auto"/>
        </w:rPr>
        <w:t>. Anything contained herein to the contrary notwithstanding, in the event that: (a)(i) any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Increased-Cost Lender</w:t>
      </w:r>
      <w:r>
        <w:rPr>
          <w:rFonts w:ascii="Times New Roman" w:cs="Times New Roman" w:eastAsia="Times New Roman" w:hAnsi="Times New Roman"/>
          <w:sz w:val="18"/>
          <w:szCs w:val="18"/>
          <w:color w:val="auto"/>
        </w:rPr>
        <w:t>”) shall give notice to Representative that such Lender is entitled to receive payments under Section 2.17, 2.18 or 2.19, (ii) the circumstances which entitle such Lender to receive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Section 10.5(b), the consent of Requisite Lenders shall have been obtained but the consent of one or more of such other Lenders (each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whose consent is required shall not have been obtained; or (c) any Lender (or its Lender Parent) has become the subject of a Bail-In Action (a “</w:t>
      </w:r>
      <w:r>
        <w:rPr>
          <w:rFonts w:ascii="Times New Roman" w:cs="Times New Roman" w:eastAsia="Times New Roman" w:hAnsi="Times New Roman"/>
          <w:sz w:val="18"/>
          <w:szCs w:val="18"/>
          <w:b w:val="1"/>
          <w:bCs w:val="1"/>
          <w:color w:val="auto"/>
        </w:rPr>
        <w:t>Bailed-In Lender</w:t>
      </w:r>
      <w:r>
        <w:rPr>
          <w:rFonts w:ascii="Times New Roman" w:cs="Times New Roman" w:eastAsia="Times New Roman" w:hAnsi="Times New Roman"/>
          <w:sz w:val="18"/>
          <w:szCs w:val="18"/>
          <w:color w:val="auto"/>
        </w:rPr>
        <w:t>”); then, with respect to each such Increased-Cost Lender, Non-Consenting Lender or Bailed-In Lender (the “</w:t>
      </w:r>
      <w:r>
        <w:rPr>
          <w:rFonts w:ascii="Times New Roman" w:cs="Times New Roman" w:eastAsia="Times New Roman" w:hAnsi="Times New Roman"/>
          <w:sz w:val="18"/>
          <w:szCs w:val="18"/>
          <w:b w:val="1"/>
          <w:bCs w:val="1"/>
          <w:color w:val="auto"/>
        </w:rPr>
        <w:t>Terminated Lender</w:t>
      </w:r>
      <w:r>
        <w:rPr>
          <w:rFonts w:ascii="Times New Roman" w:cs="Times New Roman" w:eastAsia="Times New Roman" w:hAnsi="Times New Roman"/>
          <w:sz w:val="18"/>
          <w:szCs w:val="18"/>
          <w:color w:val="auto"/>
        </w:rPr>
        <w:t>”), Borrower may, by giving written notice to Administrative Agent and any Terminated Lender of its election to do so, or Administrative Agent may, elect to cause such Terminated Lender (and such Terminated Lender hereby irrevocably agrees) to assign its outstanding Loans, if any, in full to one or more Eligible Assignees (each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in accordance with the provisions of Section 10.6 and Terminated Lender (or, with respect to a Bailed-In Lender, the Bailed-In Lender, the Replacement Lender or the Borrower, at the Borrower’s election) shall pay any fees payable thereunder in connection with such assignment; provided, (1) on the date of such assignment, the Replacement Lender shall pay to Terminated Lender an amount equal to the sum of (A) an amount equal to the principal of, and all accrued interest on, all outstanding Loans of the Terminated Lender and (B) an amount equal to all accrued, but theretofore unpaid fees owing to such Terminated Lender pursuant to Section 2.10; (2) on the date of such assignment, the Borrower shall pay any amounts payable to such Terminated Lender pursuant to Section 2.17(c), 2.18 or 2.19, or otherwise as if it were a prepayment; (3) in the event such Terminated Lender is a Non-Consenting Lender, each Replacement Lender shall consent, at the time of such assignment, to each matter in respect of which such Terminated Lender was a Non-Consenting Lender and (4) each party hereto agrees that an assignment required pursuant to this paragraph may be effected pursuant to an Assignment and Assumption executed by the Borrower, the Administrative Agent and the Replacement Lender, and that the Terminated Lender need not be a party thereto in order for such assignment to be effective. Upon the prepayment of all amounts owing to any Terminated Lender, if any, such Terminated Lender shall no longer constitute a “Lender”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rights of such Terminated Lender to indemnification hereunder shall survive as to such Terminated Lender.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7" w:name="page128"/>
    <w:bookmarkEnd w:id="127"/>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Incremental Term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1" w:lineRule="auto"/>
        <w:tabs>
          <w:tab w:leader="none" w:pos="19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and Conditions</w:t>
      </w:r>
      <w:r>
        <w:rPr>
          <w:rFonts w:ascii="Times New Roman" w:cs="Times New Roman" w:eastAsia="Times New Roman" w:hAnsi="Times New Roman"/>
          <w:sz w:val="18"/>
          <w:szCs w:val="18"/>
          <w:color w:val="auto"/>
        </w:rPr>
        <w:t>. The Borrower may by written notice to the Administrative Agent elect to request the establishment of one or more additional term loan commitments to establish additional tranches of Term Loans or an increase to the existing Term Loans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in an aggregate amount for all such Additional Term Loan Commitments established after the Closing Date not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clauses (a) and (b) of the Incremental Cap (any such Loans made pursuant to such Additional Term Loan Commitments, the “</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Each such notice shall specify (a) the date (each,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 the Borrower proposes that the Additional Term Loan Commitments shall be effective, which shall be a date not less than 10 Business Days after the date on which such notice is delivered to the Administrative Agent or such earlier date as may reasonably be acceptable to the Administrative Agent and (b) the identity of each Lender or other Person that is an Eligible Assignee (each, a “</w:t>
      </w:r>
      <w:r>
        <w:rPr>
          <w:rFonts w:ascii="Times New Roman" w:cs="Times New Roman" w:eastAsia="Times New Roman" w:hAnsi="Times New Roman"/>
          <w:sz w:val="18"/>
          <w:szCs w:val="18"/>
          <w:b w:val="1"/>
          <w:bCs w:val="1"/>
          <w:color w:val="auto"/>
        </w:rPr>
        <w:t>Additional Term Loan Lender</w:t>
      </w:r>
      <w:r>
        <w:rPr>
          <w:rFonts w:ascii="Times New Roman" w:cs="Times New Roman" w:eastAsia="Times New Roman" w:hAnsi="Times New Roman"/>
          <w:sz w:val="18"/>
          <w:szCs w:val="18"/>
          <w:color w:val="auto"/>
        </w:rPr>
        <w:t xml:space="preserve">”) to whom the Borrower proposes any portion of such Additional Term Loan Commitments be allocated 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approached to provide all or a portion of the Additional Term Loan Commitments may elect or decline, in its sole discretion, to provide an Additional Term Loan Commitment. Such Additional Term Loan Commitments shall become effective, as of such Increased Amount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minimum amount of Additional Term Loan Commitments that may be requested for any Increased Amount Date shall be $10,000,000 and integral multiples of $1,000,000 in excess of that amount; (2) no Default or Event of Default shall exist on such Increased Amount Date before or after giving effect to such Additional Term Loan Commitments (except with respect to any use of Additional Term Loan Commitments in connection with a Limited Condition Transaction, no such Default or Event of Default shall exist at the time as elected by the Company pursuant to Section 1.6); (3) both before and after giving effect to the making of any Additional Term Loan Commitments, the representations and warranties contained herein and in the other Credit Documents shall be true and correct in all material respects (or in all respects, if qualified by materiality) on and as of such Increased Amount Date to the same extent as though made on and as of that date, except to the extent such representations and warranties specifically relate to an earlier date, in which case such representations and warranties shall have been true and correct in all material respects (or in all respects, if qualified by materiality) on and as of such earlier date (except with respect to any use of Additional Term Loan Commitments in connection with a Limited Condition Transaction, such representations and warranties shall be so true and correct as of the time elected by the Company pursuant to Section 1.6 and the only representations and warranties that need be so true and correct on the Increased Amount Date are those customarily made in connection with acquisition financings (as reasonably determined by the Administrative Agent and the applicable lenders in respect of such Additional Term Loan Commitments) or as otherwise required by the applicable lenders in respect of such Additional Term Loan Commitments); (4) the terms of the Additional Term Loan Commitments shall be reasonably satisfactory to the Administrative Agent and in compliance with the terms and provisions of this Section; (5) the Additional Term Loan Commitments, as applicable, shall be effected pursuant to one or more Term Loan Joinder Agreements executed and delivered by the Borrower, and the Administrative Agent, and each of which shall be recorded in the Register and shall be subject to the requirements set forth in Section 2.19(c); (6) the Borrower shall deliver or cause to be delivered any legal opinions or other documents reasonably requested by Administrative Agent or Collateral Agent in connection with any such transaction; and (7) the Administrative Agent shall have consented (such consent not to be unreasonably withheld or delayed) to each Additional Term Loan Lender. Administrative Agent shall notify Lenders promptly upon receipt of the Borrower’s notice of each Increased Amount Date for any Additional Term Loan Commitments.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jc w:val="both"/>
        <w:ind w:firstLine="1304"/>
        <w:spacing w:after="0" w:line="251" w:lineRule="auto"/>
        <w:tabs>
          <w:tab w:leader="none" w:pos="19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The terms and provisions of the Additional Term Loan Commitments shall be identical to the existing Term Loans except as provided in clauses (1) and (2)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Additional Term Loan Commitments will establish an additional tranche of Term Loans, (1) the Applicable Margin for such new tranche of Term Loans shall be determined by the Borrower and the applicable Additional Term Loan Lenders and the interest rate for the Additional Term Loans shall be determined by reference to the Alternate Base Rate and Adjusted Term SOFR Rate; provided, further however, that if the Yield on any such Additional Term Loans that are incurred at any time on or prior to the date that is six months after the Closing Date and are broadly syndicated term B loans exceeds the Yield of the Term Loans made on the Closing Date by more than 50 basis points (the amount of such excess above 50 basis points being referred to herein as the “</w:t>
      </w:r>
      <w:r>
        <w:rPr>
          <w:rFonts w:ascii="Times New Roman" w:cs="Times New Roman" w:eastAsia="Times New Roman" w:hAnsi="Times New Roman"/>
          <w:sz w:val="18"/>
          <w:szCs w:val="18"/>
          <w:b w:val="1"/>
          <w:bCs w:val="1"/>
          <w:color w:val="auto"/>
        </w:rPr>
        <w:t>Incremental Net Yield</w:t>
      </w:r>
      <w:r>
        <w:rPr>
          <w:rFonts w:ascii="Times New Roman" w:cs="Times New Roman" w:eastAsia="Times New Roman" w:hAnsi="Times New Roman"/>
          <w:sz w:val="18"/>
          <w:szCs w:val="18"/>
          <w:color w:val="auto"/>
        </w:rPr>
        <w:t>”), then the Applicable Margin then in effect for the Term Loans made on the Closing Date shall automatically be increased by the Incremental Net Yield, effective upon the making of the Additional Term Loans (the foregoing provisions of this proviso, including all qualifications and exceptions thereto, the “</w:t>
      </w:r>
      <w:r>
        <w:rPr>
          <w:rFonts w:ascii="Times New Roman" w:cs="Times New Roman" w:eastAsia="Times New Roman" w:hAnsi="Times New Roman"/>
          <w:sz w:val="18"/>
          <w:szCs w:val="18"/>
          <w:b w:val="1"/>
          <w:bCs w:val="1"/>
          <w:color w:val="auto"/>
        </w:rPr>
        <w:t>MFN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determinations by the Administrative Agent as to Incremental Net Yield or other matters contemplated by this Section 2.23 shall be conclusive absent manifest error, and (2) the weighted average life to maturity of any Additional Term Loans shall be no earlier than the weighted average life to maturity of the Term Loans made on the Closing Date (other than as required to make the Additional Term Loans fungible with the Term Loans made on the Closing Date) and the final maturity date of any Additional Term Loans shall be no earlier than the Maturity Date. Additional Term Loans will constitute Obligations hereunder for all purposes of this Agreement and the Collateral Documents and will be secured by the Collateral securing the other Obligations. The parties hereto acknowledge and agree that the Administrative Agent may hereunder or pursuant to any Term Loan Joinder Agreement, without the consent of any other Lenders, effect such amendments to this Agreement and the other Credit Documents as may be necessary or appropriate, in the opinion of the Administrative Agent, to effect the provisions of this Section 2.23, including conforming amendments (which may be in the form of an amendment and restatement) to provide for the Additional Term Loan Commitments to share ratably in the benefits of this Agreement and the other Credit Documents (including the accrued interest and fees in respect thereof) with the Term Loans made on the Closing Date; provided that such amendments may not alter the obligations of the Credit Parties under the Credit Documents except as provided in this Section. In addition, unless otherwise specifically provided herein, all references in the Credit Documents to Term Loans shall be deemed, unless the context otherwise requires, to include references to Additional Term Loans.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CONDITIONS PRECEDENT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3.1 Closing Date</w:t>
      </w:r>
      <w:r>
        <w:rPr>
          <w:rFonts w:ascii="Times New Roman" w:cs="Times New Roman" w:eastAsia="Times New Roman" w:hAnsi="Times New Roman"/>
          <w:sz w:val="18"/>
          <w:szCs w:val="18"/>
          <w:color w:val="auto"/>
        </w:rPr>
        <w:t>. The effectiveness of this Agreement and the obligation of any Lender to make a Credit Extension on the Closing Date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in accordance with Section 10.5, of the following conditions on or before the Closing Date:</w:t>
      </w:r>
    </w:p>
    <w:p>
      <w:pPr>
        <w:spacing w:after="0" w:line="159" w:lineRule="exact"/>
        <w:rPr>
          <w:sz w:val="20"/>
          <w:szCs w:val="20"/>
          <w:color w:val="auto"/>
        </w:rPr>
      </w:pPr>
    </w:p>
    <w:p>
      <w:pPr>
        <w:jc w:val="both"/>
        <w:ind w:firstLine="1304"/>
        <w:spacing w:after="0" w:line="266" w:lineRule="auto"/>
        <w:tabs>
          <w:tab w:leader="none" w:pos="19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Administrative Agent shall have received a counterpart of this Agreement, the Intercreditor Agreement, each Collateral Document and each other document set forth on Schedule 3.1 hereto to be executed on the Closing Date, in each case duly executed by each party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Documents</w:t>
      </w:r>
      <w:r>
        <w:rPr>
          <w:rFonts w:ascii="Times New Roman" w:cs="Times New Roman" w:eastAsia="Times New Roman" w:hAnsi="Times New Roman"/>
          <w:sz w:val="18"/>
          <w:szCs w:val="18"/>
          <w:color w:val="auto"/>
        </w:rPr>
        <w:t>. Administrative Agent shall have received an executed copy of each amendment to the Revolving Credit Documents to be entered into on the Closing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Administrative Agent shall have received Notes, if any, requested by any Lender pursuant to Section 2.6(c) in connection with its Term Loan Commitment, executed and delivered by the Borrower.</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Administrative Agent shall have received (i) copies of each Organizational Document for each Credit Party, certified as of a recent date prior to the Closing Date by the appropriate governmental official or, as applicable, by an officer of such Credit Party; (ii) signature and incumbency certificates of the officers of each Credit Party executing the Credit Documents to which it is a party; (iii) resolutions of the Board of Directors or similar governing body of each Credit Party approving and authorizing the execution, delivery and performance of this Agreement and the other Credit Documents to which it is a party, certified as of the Closing Date by its secretary, assistant secretary or other officer as being in full force and effect without modification or amendment; and (iv) a good standing certificate from the applicable Governmental Authority of each Credit Party’s jurisdiction of incorporation, organization or formation dated a recent date prior to the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 Information</w:t>
      </w:r>
      <w:r>
        <w:rPr>
          <w:rFonts w:ascii="Times New Roman" w:cs="Times New Roman" w:eastAsia="Times New Roman" w:hAnsi="Times New Roman"/>
          <w:sz w:val="18"/>
          <w:szCs w:val="18"/>
          <w:color w:val="auto"/>
        </w:rPr>
        <w:t>. (i) Each of the Lenders shall have received, at least three Business Days in advance of the Closing Date, all documentation and other information required by Governmental Authorities under applicable “know-your-customer” and anti-money laundering rules and regulations, including as required by the Uniting and Strengthening America by Providing Appropriate Tools Required to Intercept and Obstruct Terrorism (USA PATRIOT ACT) Act of 2001 and the Canadian Anti-Money Laundering &amp; Anti-Terrorism Legislation and (ii) to the extent the Borrower qualifies as a “legal entity customer” under the Beneficial Ownership Regulation, at least three Business Days prior to the Closing Date, any Lender that has requested, in a written notice to the Borrower at least 10 days prior to the Effective Date, a Beneficial Ownership Certification in relation to the Borrower shall have received such Beneficial Ownership Certification.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jc w:val="both"/>
        <w:ind w:left="-20" w:firstLine="1304"/>
        <w:spacing w:after="0" w:line="254" w:lineRule="auto"/>
        <w:tabs>
          <w:tab w:leader="none" w:pos="202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The Administrative Agent shall be satisfied with (i) the valid perfected First Priority security interest in favor of Collateral Agent, for the benefit of Secured Parties, in the Term Loan Priority Collateral and (ii) the valid perfected Second Priority security interest in favor of Collateral Agent, for the benefit of Secured Parties, in the ABL Priority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security interest cannot be validly provided or perfected (other than the grant and perfection of security interests (i) in material assets located in any state of the United States, the District of Columbia or Canada, (ii) in other assets with respect to which a Lien may be perfected solely by the filing of a financing statement under the Uniform Commercial Code or equivalent thereof or (iii) in Capital Stock with respect to which a Lien may be perfected by the delivery of a stock certificate) after the Company’s use of commercially reasonable efforts to do so without undue burden or expense, then the grant and perfection of such Collateral shall not constitute a condition precedent, but shall instead be provided no later than the date required by Section 5.12.</w:t>
      </w:r>
    </w:p>
    <w:p>
      <w:pPr>
        <w:spacing w:after="0" w:line="191"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9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Credit Parties</w:t>
      </w:r>
      <w:r>
        <w:rPr>
          <w:rFonts w:ascii="Times New Roman" w:cs="Times New Roman" w:eastAsia="Times New Roman" w:hAnsi="Times New Roman"/>
          <w:sz w:val="18"/>
          <w:szCs w:val="18"/>
          <w:color w:val="auto"/>
        </w:rPr>
        <w:t>. Agents, Lenders and their counsel shall have received originally executed copies of the favorable written opinions of Perkins Coie LLP, Brownstein Hyatt Farber Schreck, LLP and DLA Piper, each acting as counsel for Credit Parties, in form and substance satisfactory to the Administrative Agent, dated as of the Closing Date (and each Credit Party hereby instructs such counsel to deliver such opinion to Agents and Lenders).</w:t>
      </w:r>
    </w:p>
    <w:p>
      <w:pPr>
        <w:spacing w:after="0" w:line="179" w:lineRule="exact"/>
        <w:rPr>
          <w:rFonts w:ascii="Times New Roman" w:cs="Times New Roman" w:eastAsia="Times New Roman" w:hAnsi="Times New Roman"/>
          <w:sz w:val="18"/>
          <w:szCs w:val="18"/>
          <w:color w:val="auto"/>
        </w:rPr>
      </w:pPr>
    </w:p>
    <w:p>
      <w:pPr>
        <w:ind w:left="-20" w:firstLine="1304"/>
        <w:spacing w:after="0" w:line="282" w:lineRule="auto"/>
        <w:tabs>
          <w:tab w:leader="none" w:pos="18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shall have paid to the Arranger and Agents all fees, expenses and other amounts payable to the Arranger, the Agents and the Lenders on the Closing Date.</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0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On the Closing Date, Administrative Agent shall have received a Solvency Certificate dated as of the Closing Date and addressed to Administrative Agent and Lenders, in form, scope and substance satisfactory to Administrative Agent, with appropriate attachments and demonstrating that after giving effect to the Transactions, the Borrower is and will be, and the Borrower and its Subsidiaries (on a consolidated basis) are and will be Solvent.</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On the Closing Date, after giving effect to the Transactions, none of the Borrower or any of the Subsidiaries of the Borrower shall have any material indebtedness for borrowed money other than Indebtedness outstanding under this Agreement and Indebtedness outstanding under the Revolving Credit Documents.</w:t>
      </w:r>
    </w:p>
    <w:p>
      <w:pPr>
        <w:spacing w:after="0" w:line="175" w:lineRule="exact"/>
        <w:rPr>
          <w:rFonts w:ascii="Times New Roman" w:cs="Times New Roman" w:eastAsia="Times New Roman" w:hAnsi="Times New Roman"/>
          <w:sz w:val="18"/>
          <w:szCs w:val="18"/>
          <w:color w:val="auto"/>
        </w:rPr>
      </w:pPr>
    </w:p>
    <w:p>
      <w:pPr>
        <w:ind w:left="1860" w:hanging="576"/>
        <w:spacing w:after="0"/>
        <w:tabs>
          <w:tab w:leader="none" w:pos="1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Administrative Agent shall have received a fully executed and delivered Funding Notice.</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0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Closing Date, the representations and warranties contained herein and in the other Credit Documents shall be true and correct in all material respects (or in all respects, if qualified by materiality) on and as of the Closing Date to the same extent as though made on and as of the Closing Date, except to the extent such representations and warranties specifically relate to an earlier date, in which case such representations and warranties shall be true and correct in all material respects on and as of such earlier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31" w:name="page132"/>
    <w:bookmarkEnd w:id="131"/>
    <w:p>
      <w:pPr>
        <w:jc w:val="both"/>
        <w:ind w:firstLine="1304"/>
        <w:spacing w:after="0" w:line="258" w:lineRule="auto"/>
        <w:tabs>
          <w:tab w:leader="none" w:pos="19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Administrative Agent shall have received (i) GAAP audited consolidated balance sheets and related statements of income, stockholders’ equity and cash flows of the Company for the 2019 and 2020 fiscal years and (ii) GAAP unaudited consolidated balance sheets and related statements of income and cash flows of the Company for each subsequent fiscal quarter ended 45 days before the Closing Date. The Borrower will be deemed to have delivered such financial statements for purposes of this Section 3.1(n) to the extent it has publicly filed with the Securities and Exchange Commission reports that contain such financial statements.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3.2 Notices</w:t>
      </w:r>
      <w:r>
        <w:rPr>
          <w:rFonts w:ascii="Times New Roman" w:cs="Times New Roman" w:eastAsia="Times New Roman" w:hAnsi="Times New Roman"/>
          <w:sz w:val="18"/>
          <w:szCs w:val="18"/>
          <w:color w:val="auto"/>
        </w:rPr>
        <w:t>. Any Notice shall be executed by an Authorized Officer in a writing delivered to Administrative Agent. In lieu of delivering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Borrower may give Administrative Agent telephonic notice by the required time of any proposed borrowing, conversion/continuation, as the case may be; provided each such notice shall be promptly confirmed in writing by delivery of the applicable Notice to Administrative Agent on or before the applicable date of borrowing, continuation/conversion. Neither Administrative Agent nor any Lender shall incur any liability to the Borrower in acting upon any telephonic notice referred to above that Administrative Agent believes in good faith to have been given by a duly authorized officer or other person authorized on behalf of the Borrower or for otherwise acting in good faith.</w:t>
      </w:r>
    </w:p>
    <w:p>
      <w:pPr>
        <w:spacing w:after="0" w:line="18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induce Lenders to enter into this Agreement and to make each Credit Extension to be made thereby, each Credit Party represents and warrants to each Lender, on the Closing Date and on each Credit Date, that the following statements are true and correct: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 Organization; Requisite Power and Authority; Qualification</w:t>
      </w:r>
      <w:r>
        <w:rPr>
          <w:rFonts w:ascii="Times New Roman" w:cs="Times New Roman" w:eastAsia="Times New Roman" w:hAnsi="Times New Roman"/>
          <w:sz w:val="18"/>
          <w:szCs w:val="18"/>
          <w:color w:val="auto"/>
        </w:rPr>
        <w:t>. Each of the Borrower and its Subsidiaries (a) is duly organized,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under the laws of its jurisdiction of organization as identified in Schedule 4.1, (b) has all requisite power and authority to enter into the Credit Documents to which it is a party and to carry out the transactions contemplated thereby, and (c) is qualified to do business and in good standing in every jurisdiction where its assets are located and wherever necessary to carry out its business and operations, except in jurisdictions where the failure to be so qualified or in good standing could not be reasonably expected to have, a Material Adverse Effect.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4.2 Capital Stock and Ownership</w:t>
      </w:r>
      <w:r>
        <w:rPr>
          <w:rFonts w:ascii="Times New Roman" w:cs="Times New Roman" w:eastAsia="Times New Roman" w:hAnsi="Times New Roman"/>
          <w:sz w:val="18"/>
          <w:szCs w:val="18"/>
          <w:color w:val="auto"/>
        </w:rPr>
        <w:t>. The Capital Stock of each of the Borrower and its Subsidiaries has been duly authorized and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is fully paid and non-assessable. Except as set forth on Schedule 4.2, as of the Closing Date, there is no existing option, warrant, call, right, commitment or other agreement to which the Borrower or any of its Subsidiaries is a party requiring, and there is no membership interest or other Capital Stock of the Borrower or any of its Subsidiaries outstanding which upon conversion or exchange would require, the issuance by the Borrower or any of its Subsidiaries of any additional membership interests or other Capital Stock of the Borrower or any of its Subsidiaries or other Securities convertible into, exchangeable for or evidencing the right to subscribe for or purchase, a membership interest or other Capital Stock of the Borrower or any of its Subsidiaries. Schedule 4.2 correctly sets forth the ownership interest of the Borrower and each of its Subsidiaries in their respective Subsidiaries as of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4.3 Due Authorization</w:t>
      </w:r>
      <w:r>
        <w:rPr>
          <w:rFonts w:ascii="Times New Roman" w:cs="Times New Roman" w:eastAsia="Times New Roman" w:hAnsi="Times New Roman"/>
          <w:sz w:val="18"/>
          <w:szCs w:val="18"/>
          <w:color w:val="auto"/>
        </w:rPr>
        <w:t>. The execution, delivery and performance of the Credit Documents have been duly authorized by all necessary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part of each Credit Party that is a party thereto.</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4.4 No Conflict</w:t>
      </w:r>
      <w:r>
        <w:rPr>
          <w:rFonts w:ascii="Times New Roman" w:cs="Times New Roman" w:eastAsia="Times New Roman" w:hAnsi="Times New Roman"/>
          <w:sz w:val="18"/>
          <w:szCs w:val="18"/>
          <w:color w:val="auto"/>
        </w:rPr>
        <w:t>. The execution, delivery and performance by Credit Parties of the Credit Documents to which they are parties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contemplated by the Credit Documents do not and will not (a) violate in any material respect any provision of any material law or any material governmental rule or regulation applicable to the Borrower or any of its Subsidiaries or any of the Organizational Documents of the Borrower or any of its Subsidiaries; (b) violate any order, judgment or decree of any court or other agency of government binding on the Borrower or any of its Subsidiaries except to the extent such violation could not be reasonably expected to have a Material Adverse Effect; (c) conflict with, result in a breach of or constitute (with due notice or lapse of time or both) a default under any Contractual Obligation of the Borrower or any of its Subsidiaries except to the extent such violation could not reasonably be expected to have a Material Adverse Effect; (d) result in or require the creation or imposition of any Lien upon any of the properties or assets of the Borrower or any of its Subsidiaries (other than any Liens created under any of the Credit Documents in favor of Collateral Agent, on behalf of Secured Parties); or (e) require any approval of stockholders, members or partners or any approval or consent of any Person under any Contractual Obligation of the Borrower or any of its Subsidiaries, except for such approvals or consents which will be obtained on or before the Closing Date and disclosed in writing to Lenders and those the failure to obtain would not reasonably be expected to have a Material Adverse Effect.</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4.5 Governmental Consents</w:t>
      </w:r>
      <w:r>
        <w:rPr>
          <w:rFonts w:ascii="Times New Roman" w:cs="Times New Roman" w:eastAsia="Times New Roman" w:hAnsi="Times New Roman"/>
          <w:sz w:val="18"/>
          <w:szCs w:val="18"/>
          <w:color w:val="auto"/>
        </w:rPr>
        <w:t>. The execution, delivery and performance by Credit Parties of the Credit Documents to which they are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of the transactions contemplated by the Credit Documents do not and will not require any registration with, consent or approval of, or notice to, or other action to, with or by, any Governmental Authority except to the extent obtained on or before the Closing Date, and except for filings and recordings with respect to the Collateral made or to be made, or otherwise delivered to Collateral Agent for filing and/or recordation, as of the Closing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4.6 Binding Obligation</w:t>
      </w:r>
      <w:r>
        <w:rPr>
          <w:rFonts w:ascii="Times New Roman" w:cs="Times New Roman" w:eastAsia="Times New Roman" w:hAnsi="Times New Roman"/>
          <w:sz w:val="18"/>
          <w:szCs w:val="18"/>
          <w:color w:val="auto"/>
        </w:rPr>
        <w:t>. Each Credit Document has been duly executed and delivered by each Credit Party that is a party thereto and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valid and binding obligation of such Credit Party, enforceable against such Credit Party in accordance with its respective terms, except as may be limited by Debtor Relief Laws.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4.7 Financial Condition</w:t>
      </w:r>
      <w:r>
        <w:rPr>
          <w:rFonts w:ascii="Times New Roman" w:cs="Times New Roman" w:eastAsia="Times New Roman" w:hAnsi="Times New Roman"/>
          <w:sz w:val="18"/>
          <w:szCs w:val="18"/>
          <w:color w:val="auto"/>
        </w:rPr>
        <w:t>. The Company has heretofore delivered to Administrative Agent the audited consolidated balance sheets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and its Subsidiaries for the Fiscal Years ended December 31, 2020 and December 31, 2019, and the related audited consolidated statements of income, stockholders’ equity and cash flows of the Borrower and its Subsidiaries for each such Fiscal Year then ended, together with all related notes and schedules thereto. All such statements of the Company and its Subsidiaries were prepared in conformity with GAAP and fairly present, in all material respects, the financial position of the entities described in such financial statements as at the respective dates thereof and the results of operations and cash flows of the entities described therein for each of the periods then ended, subject, in the case of such unaudited financial statements, to changes resulting from audit and normal year-end adjustments and the absence of footnotes. As of the Closing Date, neither the Borrower nor any of its Subsidiaries has any contingent liability or liability for taxes, long-term lease or unusual forward or long-term commitment that is not reflected in the foregoing financial statements or the notes thereto and which in any such case is material in relation to the business, operations, properties, assets, condition (financial or otherwise) or prospects of the Borrower and its Subsidiaries taken as a whole.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3" w:name="page134"/>
    <w:bookmarkEnd w:id="13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4.8 Projections</w:t>
      </w:r>
      <w:r>
        <w:rPr>
          <w:rFonts w:ascii="Times New Roman" w:cs="Times New Roman" w:eastAsia="Times New Roman" w:hAnsi="Times New Roman"/>
          <w:sz w:val="18"/>
          <w:szCs w:val="18"/>
          <w:color w:val="auto"/>
        </w:rPr>
        <w:t>. On and as of the Closing Date, the projections of the Borrower and its Subsidiaries (collectively,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delivered to Administrative Agent are based on good faith estimates and assumptions made by the management of the Borrower believed to be reasonable at the time made, it being recognized, however, that projections as to future events are not to be viewed as facts and that actual results during the period or periods covered by the Projections may differ from the projected results and that the differences may be material.</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4.9 No Material Adverse Change</w:t>
      </w:r>
      <w:r>
        <w:rPr>
          <w:rFonts w:ascii="Times New Roman" w:cs="Times New Roman" w:eastAsia="Times New Roman" w:hAnsi="Times New Roman"/>
          <w:sz w:val="18"/>
          <w:szCs w:val="18"/>
          <w:color w:val="auto"/>
        </w:rPr>
        <w:t>. Since December 31, 2020, except as set forth in Schedule 4.9, no event, circumstance or change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that has caused or evidences, or could reasonably be expected to cause, either in any case or in the aggregate, a Material Adverse Effect.</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4.11 Litigation; Adverse Facts</w:t>
      </w:r>
      <w:r>
        <w:rPr>
          <w:rFonts w:ascii="Times New Roman" w:cs="Times New Roman" w:eastAsia="Times New Roman" w:hAnsi="Times New Roman"/>
          <w:sz w:val="18"/>
          <w:szCs w:val="18"/>
          <w:color w:val="auto"/>
        </w:rPr>
        <w:t>. Except as set forth in Schedule 4.11 hereto, there are no Adverse Proceedings,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that could reasonably be expected to have a Material Adverse Effect. Neither the Borrower nor any of its Subsidiaries (a) is in violation of any applicable laws (including Environmental Laws) that, individually or in the aggregate, could reasonably be expected to have a Material Adverse Effect, or</w:t>
      </w:r>
    </w:p>
    <w:p>
      <w:pPr>
        <w:jc w:val="both"/>
        <w:ind w:firstLine="8"/>
        <w:spacing w:after="0" w:line="255" w:lineRule="auto"/>
        <w:tabs>
          <w:tab w:leader="none" w:pos="2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4.12 Payment of Taxes</w:t>
      </w:r>
      <w:r>
        <w:rPr>
          <w:rFonts w:ascii="Times New Roman" w:cs="Times New Roman" w:eastAsia="Times New Roman" w:hAnsi="Times New Roman"/>
          <w:sz w:val="18"/>
          <w:szCs w:val="18"/>
          <w:color w:val="auto"/>
        </w:rPr>
        <w:t>. Except as otherwise permitted under Section 5.3, all tax returns and reports of the Borrower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by any of them have been timely filed, and all taxes payable and all assessments, fees and other governmental charges upon the Borrower and its Subsidiaries and upon their respective properties, assets, income, businesses and franchises which are due and payable have been paid when due and payable other than those which are being actively contested by the Borrower or such Subsidiary in good faith or which could not, individually or in the aggregate, reasonably be expected to have a Material Adverse Effect. Neither the Borrower nor any of its Subsidiaries knows of any proposed tax assessment against the Borrower or any of its Subsidiaries other than those which are being actively contested by the Borrower or such Subsidiary in good faith and by appropriate proceedings and for which reserves or other appropriate provisions, if any, as shall be required in conformity with GAAP shall have been made or provided therefor.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4" w:name="page135"/>
    <w:bookmarkEnd w:id="134"/>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4.13</w:t>
      </w:r>
      <w:r>
        <w:rPr>
          <w:sz w:val="20"/>
          <w:szCs w:val="20"/>
          <w:color w:val="auto"/>
        </w:rPr>
        <w:tab/>
      </w:r>
      <w:r>
        <w:rPr>
          <w:rFonts w:ascii="Times New Roman" w:cs="Times New Roman" w:eastAsia="Times New Roman" w:hAnsi="Times New Roman"/>
          <w:sz w:val="17"/>
          <w:szCs w:val="17"/>
          <w:b w:val="1"/>
          <w:bCs w:val="1"/>
          <w:color w:val="auto"/>
        </w:rPr>
        <w:t>Properties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2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Borrower and its Subsidiaries has (i) good, marketable and legal title to (in the case of fee interests in real property), (ii) valid leasehold interests in (in the case of leasehold interests in real or personal property), and (iii) good title to (in the case of all other personal property), all of their respective properties and assets reflected in the most recent financial statements delivered to the Administrative Agent, in each case except for assets disposed of since the date of such financial statements and prior to the Closing Date in the ordinary course of business and except for such defects that neither individually nor in the aggregate could reasonably be expected to have a Material Adverse Effect. All such properties and assets are free and clear of Liens other than Permitted Liens.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 As of the Closing Date, Schedule 4.13 contains a true, accurate and complete list of (i) all Real Estate Assets, (ii) Material Real Estate Assets and (iii) all leases or subleases (together with all amendments, modifications, supplements, renewals or extensions of any thereof), if any, affecting each Real Estate Asset of any Credit Party, regardless of whether such Credit Party is the landlord or tenant (whether directly or as an assignee or successor in interest) under such lease or sublease. Each agreement listed in clause (ii) of the immediately preceding sentence is in full force and effect and the Borrower does not have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the valid right to use all material Intellectual Property, and all Intellectual Property is free and clear of any and all Liens other than Liens securing the Obligations and Liens permitted pursuant to Section 6.2(i). Any registrations in respect of material Intellectual Property are in full force and effect and are valid and enforceable. The conduct of the business of the Company and its Subsidiaries as currently conducted, and as currently contemplated to be conducted, including, but not limited to, all products, processes or services, made, offered or sold by the Company and its Subsidiaries, does not and will not infringe upon, violate, misappropriate or dilute any intellectual property of any third party which infringement, violation, misappropriation or dilution could reasonably be expected to have a Material Adverse Effect. To the knowledge of the Company or any of its Subsidiaries, no third party is infringing upon or misappropriating, violating or otherwise diluting any Intellectual Property where such infringement, misappropriation, violation or dilution could reasonably be expected to have a Material Adverse Effect. Neither the Company nor any of its Subsidiaries is enjoined from using any material Intellectual Property, and except as could reasonably be expected to have a Material Adverse Effect, there is no pending or, to the knowledge of the Company or any of its Subsidiaries, threatened claim or litigation contesting</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the Company or any of its Subsidiaries to own or use any Intellectual Property, or (ii) the validity or enforceability of any Intellectual Property.</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4.14 Environmental Matters</w:t>
      </w:r>
      <w:r>
        <w:rPr>
          <w:rFonts w:ascii="Times New Roman" w:cs="Times New Roman" w:eastAsia="Times New Roman" w:hAnsi="Times New Roman"/>
          <w:sz w:val="18"/>
          <w:szCs w:val="18"/>
          <w:color w:val="auto"/>
        </w:rPr>
        <w:t>. Except as set forth in Schedule 4.14 hereto: (i) neither the Company nor any of its Subsidiaries nor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Facilities or operations are subject to any outstanding written order, consent decree or settlement agreement with any Person relating to any Environmental Law, any Environmental Claim, or any Hazardous Materials Activity which individually or in the aggregate would reasonably be expected to have a Material Adverse Effect; (ii) neither the Company nor any of its Subsidiaries has received within the last 10 years any letter or request for information under Section 104 of the Comprehensive Environmental Response, Compensation, and Liability Act (42 U.S.C. § 9604), or any comparable state law; (iii) there are and, to each of the Company’s and its Subsidiaries’ knowledge, have been, no conditions, occurrences, or Hazardous Materials Activities which would reasonably be expected to form the basis of an Environmental Claim against the Company or any of its Subsidiaries, which individually or in the aggregate would reasonably be expected to have a Material Adverse Effect; and (iv) neither the Company nor any of its Subsidiaries nor, to the Company’s or any of its Subsidiaries’ knowledge, any predecessor of the Company or any of its Subsidiaries has filed any notice under any Environmental Law indicating past or present treatment of Hazardous Materials at any Facility, and none of the Company’s or any of its Subsidiaries’ operations involves the generation, transportation, treatment, storage or disposal of hazardous waste, as defined under 40 C.F.R. Parts 260-270 or any state equivalent, which individually or in the aggregate would reasonably be expected to have a Material Adverse Effect. Notwithstanding anything to the contrary in this Section 4.14, compliance with all current or reasonably foreseeable future requirements pursuant to or under Environmental Laws would not be reasonably expected to have, individually or in the aggregate, a Material Adverse Effect and no event or condition has occurred or is occurring with respect to the Company or any of its Subsidiaries relating to any Environmental Law, any Release of Hazardous Materials, or any Hazardous Materials Activity, including any matter included in Schedule 4.14, which individually or in the aggregate has had, or would reasonably be expected to have, a Material Adverse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5" w:name="page136"/>
    <w:bookmarkEnd w:id="13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4.15 No Defaults</w:t>
      </w:r>
      <w:r>
        <w:rPr>
          <w:rFonts w:ascii="Times New Roman" w:cs="Times New Roman" w:eastAsia="Times New Roman" w:hAnsi="Times New Roman"/>
          <w:sz w:val="18"/>
          <w:szCs w:val="18"/>
          <w:color w:val="auto"/>
        </w:rPr>
        <w:t>. Neither the Company nor any of its Subsidiaries is in default in the performance, observance or fulfillment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or covenants contained in (i) any of its Contractual Obligations (other than the Credit Documents and the Revolving Credit Documents), and no condition exists which, with the giving of notice or the lapse of time or both, could constitute such a default, except where (x) the consequences, direct or indirect, of such default or defaults, if any, could not reasonably be expected to have a Material Adverse Effect, or (y) such a default or defaults arises from a good faith dispute, and (ii) any Credit Document and any Revolving Credit Document.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4.16 Governmental Regulation</w:t>
      </w:r>
      <w:r>
        <w:rPr>
          <w:rFonts w:ascii="Times New Roman" w:cs="Times New Roman" w:eastAsia="Times New Roman" w:hAnsi="Times New Roman"/>
          <w:sz w:val="18"/>
          <w:szCs w:val="18"/>
          <w:color w:val="auto"/>
        </w:rPr>
        <w:t>. Neither the Company nor any of its Subsidiaries is subject to regulation under the Federal Power Act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or under any other federal or state statute or regulation which may limit its ability to incur Indebtedness or which may otherwise render all or any portion of the Obligations unenforceable. Neither the Company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4.17 Margin Regulations</w:t>
      </w:r>
      <w:r>
        <w:rPr>
          <w:rFonts w:ascii="Times New Roman" w:cs="Times New Roman" w:eastAsia="Times New Roman" w:hAnsi="Times New Roman"/>
          <w:sz w:val="18"/>
          <w:szCs w:val="18"/>
          <w:color w:val="auto"/>
        </w:rPr>
        <w:t>. Neither the Company nor any of its Subsidiaries is engaged principally, or as one of its important activities,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extending credit for the purpose of purchasing or carrying any Margin Stock. Neither the making of the Loans nor the pledge of the Collateral pursuant to the Collateral Documents, violates Regulation T, U or X of the Federal Reserve Board. No part of the proceeds of the Loans made to such Credit Party will be used to purchase or carry any such margin stock or to extend credit to others for the purpose of purchasing or carrying any such margin stock or for any purpose that violates, or is inconsistent with, the provisions of Regulation T, U or X of said Board of Governors.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4.18 Employee Matters</w:t>
      </w:r>
      <w:r>
        <w:rPr>
          <w:rFonts w:ascii="Times New Roman" w:cs="Times New Roman" w:eastAsia="Times New Roman" w:hAnsi="Times New Roman"/>
          <w:sz w:val="18"/>
          <w:szCs w:val="18"/>
          <w:color w:val="auto"/>
        </w:rPr>
        <w:t>. Neither the Company nor any of its Subsidiaries is engaged in any unfair labor practice that could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have a Material Adverse Effect. Except as set forth in Schedule 4.18, there is (a) no unfair labor practice complaint pending against the Company or any of its Subsidiaries, or to the best knowledge of the Company, threatened against any of them before the National Labor Relations Board and no grievance or arbitration proceeding arising out of or under any collective bargaining agreement that is so pending against the Company or any of its Subsidiaries or to the best knowledge of the Company, threatened against any of them, and the hours worked by and payments made to employees of the Company or any of its Subsidiaries have not violated the Fair Labor Standards Act or any other law dealing with such matters, (b) no strike or work stoppage in existence or threatened involving the Company or any of its Subsidiaries, and (c) to the best knowledge of the Company, no union representation question existing with respect to the employees of the Company or any of its Subsidiaries and, to the best knowledge of the Company, no union organization activity that is taking place; which in each case in clause (a), (b) or (c) above (including any matter included in Schedule 4.18), could either individually or in the aggregate reasonably be expected to have a Material Adverse Effect.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4.19 Employee Benefit Plans</w:t>
      </w:r>
      <w:r>
        <w:rPr>
          <w:rFonts w:ascii="Times New Roman" w:cs="Times New Roman" w:eastAsia="Times New Roman" w:hAnsi="Times New Roman"/>
          <w:sz w:val="18"/>
          <w:szCs w:val="18"/>
          <w:color w:val="auto"/>
        </w:rPr>
        <w:t>. The Company, each of its Subsidiaries and each of their respective ERISA Affiliates are in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all applicable provisions and requirements of ERISA and the Internal Revenue Code and the regulations and published interpretations thereunder with respect to each Employee Benefit Plan, and have performed all their obligations under each Employee Benefit Plan in all material respects. Each Employee Benefit Plan which is intended to qualify under Section 401(a) of the Internal Revenue Code has received a favorable determination letter from the Internal Revenue Service indicating that such Employee Benefit Plan is so qualified and the trust related thereto has been determined by the Internal Revenue Service to be exempt from federal income tax under Section 501(a) of the Internal Revenue Code or an application for such determination is currently pending before the Internal Revenue Service, and, to the knowledge of the Company, nothing has occurred subsequent to the issuance of such determination letter which reasonably would be expected to cause such Employee Benefit Plan to lose its qualified status. No liability to the PBGC (other than required premium payments), the Internal Revenue Service, any Employee Benefit Plan or any trust established under Title IV of ERISA has been or is reasonably expected to be incurred by the Company, any of its Subsidiaries or any of their ERISA Affiliates. Except as set forth in Schedule 4.19 (and except for changes in matters identified in Schedule 4.19 that are not, individually or in the aggregate, material), no ERISA Event has occurred or is reasonably expected to occur. Except as set forth in Schedule 4.19, and except to the extent required under Section 4980B of the Internal Revenue Code or similar state laws, no Employee Benefit Plan provides health or welfare benefits (through the purchase of insurance or otherwise) for any retired or former employee of the Company, any of its Subsidiaries or any of their respective ERISA Affiliates. Except as set forth in Schedule 4.19 (and except for changes in matters identified in Schedule 4.19 that are not, individually or in the aggregate, material), the present value of the aggregate benefit liabilities under each Pension Plan (determined as of the end of the most recent plan year on the basis of the actuarial assumptions specified for funding purposes in the most recent actuarial valuation for such Pension Plan), did not exceed the aggregate current value of the assets of such Pension Plan. Neither the Company, any of its Subsidiaries nor any of their respective ERISA Affiliates maintains, contributes to or is required to contribute to any Multiemployer Plan and none of them has incurred any liability in respect of any Multiemployer Plan that has not been satisfied in full.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the extent applicable, each of the Canadian Loan Parties and the other Credit Parties is in compliance with the requirements of the </w:t>
      </w:r>
      <w:r>
        <w:rPr>
          <w:rFonts w:ascii="Times New Roman" w:cs="Times New Roman" w:eastAsia="Times New Roman" w:hAnsi="Times New Roman"/>
          <w:sz w:val="18"/>
          <w:szCs w:val="18"/>
          <w:i w:val="1"/>
          <w:iCs w:val="1"/>
          <w:color w:val="auto"/>
        </w:rPr>
        <w:t>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Benefits Act </w:t>
      </w:r>
      <w:r>
        <w:rPr>
          <w:rFonts w:ascii="Times New Roman" w:cs="Times New Roman" w:eastAsia="Times New Roman" w:hAnsi="Times New Roman"/>
          <w:sz w:val="18"/>
          <w:szCs w:val="18"/>
          <w:color w:val="auto"/>
        </w:rPr>
        <w:t>(Ontario) and other federal or provincial laws with respect to each (i) Canadian Pension Plan, except where the failure to comply would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have a Material Adverse Effect, and (ii) Canadian Defined Benefit Plan. No fact or situation that may reasonably be expected to result in a Material Adverse Effect exists in connection with any Canadian Pension Plan or Canadian Defined Benefit Plan. No Canadian Pension Event has occurred. Neither the Canadian Loan Parties nor any other Credit Parties has a Canadian Defined Benefit Plan. The Financial Services Regulatory Authority (“</w:t>
      </w:r>
      <w:r>
        <w:rPr>
          <w:rFonts w:ascii="Times New Roman" w:cs="Times New Roman" w:eastAsia="Times New Roman" w:hAnsi="Times New Roman"/>
          <w:sz w:val="18"/>
          <w:szCs w:val="18"/>
          <w:b w:val="1"/>
          <w:bCs w:val="1"/>
          <w:color w:val="auto"/>
        </w:rPr>
        <w:t>FSRA</w:t>
      </w:r>
      <w:r>
        <w:rPr>
          <w:rFonts w:ascii="Times New Roman" w:cs="Times New Roman" w:eastAsia="Times New Roman" w:hAnsi="Times New Roman"/>
          <w:sz w:val="18"/>
          <w:szCs w:val="18"/>
          <w:color w:val="auto"/>
        </w:rPr>
        <w:t>”) has not issued any default or other breach notices in respect of any Canadian Defined Benefit Plan. No lien has arisen, choate or inchoate, in respect of any Canadian Loan Party or their Subsidiaries or their property in connection with any Canadian Pension Plan (save for contribution amounts not yet due).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4.20 Certain Fees</w:t>
      </w:r>
      <w:r>
        <w:rPr>
          <w:rFonts w:ascii="Times New Roman" w:cs="Times New Roman" w:eastAsia="Times New Roman" w:hAnsi="Times New Roman"/>
          <w:sz w:val="18"/>
          <w:szCs w:val="18"/>
          <w:color w:val="auto"/>
        </w:rPr>
        <w:t>. Except as otherwise disclosed in writing to Administrative Agent and Arranger, no broker’s or finder’s fee or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payable with respect hereto or any of the transactions contemplated hereby, and the Company hereby indemnifies Lenders, Agents and Arranger against, and agrees that it will hold Lenders, Agents and Arranger harmless from, any claim, demand or liability for any such broker’s or finder’s fees alleged to have been incurred in connection herewith or therewith and any expenses (including reasonable fees, expenses and disbursements of counsel) arising in connection with any such claim, demand or liability.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4.21 Solvency</w:t>
      </w:r>
      <w:r>
        <w:rPr>
          <w:rFonts w:ascii="Times New Roman" w:cs="Times New Roman" w:eastAsia="Times New Roman" w:hAnsi="Times New Roman"/>
          <w:sz w:val="18"/>
          <w:szCs w:val="18"/>
          <w:color w:val="auto"/>
        </w:rPr>
        <w:t>. The Borrower is, and the Borrower and its Subsidiaries (on a consolidated basis), are, and, upon the incurrence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by any Credit Party on any date on which this representation and warranty is made, will be, Solvent.</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The security interests created in favor of Collateral Agent under the Collateral Documents constitute, as security for the obligations purported to be secured thereby, a legal, valid and enforceable security interest in all of the Collateral referred to therein in favor of Collateral Agent for the benefit of the Lenders. The security interests in and Liens upon the Collateral described in the Collateral Documents are valid and perfected First Priority or Second Priority Liens (in accordance with the priorities set forth in the Intercreditor Agreement) to the extent such security interests and Liens can be perfected by such filings and recordations. No consents, filings or recordings are required in order to perfect (or maintain the perfection or priority of) the security interests purported to be created by any of the Collateral Documents or to give third parties constructive notice thereof, other than (i) such as have been obtained and which remain in full force and effect or will be completed promptly following the date of creation of the Lien and (ii) the periodic filing of UCC and PPSA continuation statements in respect of UCC and PPSA financing statements filed by or on behalf of Collateral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8" w:name="page139"/>
    <w:bookmarkEnd w:id="138"/>
    <w:p>
      <w:pPr>
        <w:jc w:val="both"/>
        <w:ind w:firstLine="1304"/>
        <w:spacing w:after="0" w:line="256" w:lineRule="auto"/>
        <w:tabs>
          <w:tab w:leader="none" w:pos="20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Third Party Filings</w:t>
      </w:r>
      <w:r>
        <w:rPr>
          <w:rFonts w:ascii="Times New Roman" w:cs="Times New Roman" w:eastAsia="Times New Roman" w:hAnsi="Times New Roman"/>
          <w:sz w:val="18"/>
          <w:szCs w:val="18"/>
          <w:color w:val="auto"/>
        </w:rPr>
        <w:t>. Except such as may have been filed in favor of Collateral Agent as contemplated by Section 4.22(a) above and except as set forth on Schedule 4.22 annexed hereto or, after the Closing Date, as may have been filed with respect to a Lien permitted by Section 6.2, (i) no effective UCC or PPSA financing statement, fixture filing or other instrument similar in effect covering all or any part of the Collateral is on file in any filing or recording office and (ii) no effective filing with respect to a Lien covering all or any part of the Collateral is on file with the United States Patent and Trademark Office, United States Copyright Office or Canadian Intellectual Property Office or any other Governmental Authority.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4.23 Disclosure</w:t>
      </w:r>
      <w:r>
        <w:rPr>
          <w:rFonts w:ascii="Times New Roman" w:cs="Times New Roman" w:eastAsia="Times New Roman" w:hAnsi="Times New Roman"/>
          <w:sz w:val="18"/>
          <w:szCs w:val="18"/>
          <w:color w:val="auto"/>
        </w:rPr>
        <w:t>. No representation or warranty of the Company and its Subsidiaries contained in any Credit Document 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certificates or written statements, nor any of the other reports, financial statements, certificates or other information furnished by or on behalf of the Company or any of its Subsidiaries to the Administrative Agent or any Lender in connection with the negotiation of this Agreement or delivered hereunder contains any untrue statement of a material fact or omits (when taken as a whole) to state a material fact (known to the Company, in the case of any document not furnished by either of them) necessary in order to make the statements contained herein or therein not misleading in light of the circumstances in which the same were made. Any projections and pro forma financial information contained in such materials are based upon good faith estimates and assumptions believed by the Company to be reasonable at the time made, it being recognized by Lenders that such projections as to future events are not to be viewed as facts and that actual results during the period or periods covered by any such projections may differ from the projected results. There is no fact known to the Company (other than matters of a general economic nature) that, individually or in the aggregate, has had, or could reasonably be expected to result in, a Material Adverse Effect and that has not been disclosed herein or in such other documents, certificates and statements furnished to Lenders for use in connection with the transactions contemplated hereby.</w:t>
      </w:r>
    </w:p>
    <w:p>
      <w:pPr>
        <w:spacing w:after="0" w:line="18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4.24</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4.25</w:t>
      </w:r>
      <w:r>
        <w:rPr>
          <w:sz w:val="20"/>
          <w:szCs w:val="20"/>
          <w:color w:val="auto"/>
        </w:rPr>
        <w:tab/>
      </w:r>
      <w:r>
        <w:rPr>
          <w:rFonts w:ascii="Times New Roman" w:cs="Times New Roman" w:eastAsia="Times New Roman" w:hAnsi="Times New Roman"/>
          <w:sz w:val="17"/>
          <w:szCs w:val="17"/>
          <w:b w:val="1"/>
          <w:bCs w:val="1"/>
          <w:color w:val="auto"/>
        </w:rPr>
        <w:t>Use of Proceeds</w:t>
      </w:r>
      <w:r>
        <w:rPr>
          <w:rFonts w:ascii="Times New Roman" w:cs="Times New Roman" w:eastAsia="Times New Roman" w:hAnsi="Times New Roman"/>
          <w:sz w:val="17"/>
          <w:szCs w:val="17"/>
          <w:color w:val="auto"/>
        </w:rPr>
        <w:t>. The proceeds of Term Loans shall be used solely in accordance with Section 2.5.</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4.26 Anti-Corruption Laws and Sanctions</w:t>
      </w:r>
      <w:r>
        <w:rPr>
          <w:rFonts w:ascii="Times New Roman" w:cs="Times New Roman" w:eastAsia="Times New Roman" w:hAnsi="Times New Roman"/>
          <w:sz w:val="18"/>
          <w:szCs w:val="18"/>
          <w:color w:val="auto"/>
        </w:rPr>
        <w:t>. The Borrower has implemented and maintains in effect policies and procedures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ensure compliance by the Borrower and its Subsidiaries and their respective directors, officers, employees and agents with Anti-Corruption Laws and applicable Sanctions, and the Borrower, its Subsidiaries and their respective officers and employees and, to the knowledge of the Borrower, their respective directors and agents, are in compliance with Anti-Corruption Laws and applicable Sanctions in all material respects. None of (a) the Borrower, any of its Subsidiaries or any of their respective directors, officers or employees, or (b) to the knowledge of the Borrower, any agent of the Borrower or any of their respective Subsidiaries that will act in any capacity in connection with or benefit from the credit facility established hereby, is a Sanctioned Person. No borrowing of Loans, use of proceeds or other transaction contemplated by this Agreement will violate Anti-Corruption Laws or applicable Sanctions. Notwithstanding the foregoing, the representations given in this Section 4.26 shall not be made by nor apply to any Person that qualifies as a corporation that is registered or incorporated under the laws of Canada or any province thereof and that carries on business in whole or in part in Canada within the meaning of Section 2 of the Foreign Extraterritorial Measures (United States) Order, 1992 passed under the </w:t>
      </w:r>
      <w:r>
        <w:rPr>
          <w:rFonts w:ascii="Times New Roman" w:cs="Times New Roman" w:eastAsia="Times New Roman" w:hAnsi="Times New Roman"/>
          <w:sz w:val="18"/>
          <w:szCs w:val="18"/>
          <w:i w:val="1"/>
          <w:iCs w:val="1"/>
          <w:color w:val="auto"/>
        </w:rPr>
        <w:t>Foreign Extraterritorial Measures Act</w:t>
      </w:r>
      <w:r>
        <w:rPr>
          <w:rFonts w:ascii="Times New Roman" w:cs="Times New Roman" w:eastAsia="Times New Roman" w:hAnsi="Times New Roman"/>
          <w:sz w:val="18"/>
          <w:szCs w:val="18"/>
          <w:color w:val="auto"/>
        </w:rPr>
        <w:t xml:space="preserve"> (Canada) in so far as such representations would result in a violation of or conflict with the </w:t>
      </w:r>
      <w:r>
        <w:rPr>
          <w:rFonts w:ascii="Times New Roman" w:cs="Times New Roman" w:eastAsia="Times New Roman" w:hAnsi="Times New Roman"/>
          <w:sz w:val="18"/>
          <w:szCs w:val="18"/>
          <w:i w:val="1"/>
          <w:iCs w:val="1"/>
          <w:color w:val="auto"/>
        </w:rPr>
        <w:t>Foreign Extraterritorial Measures Act</w:t>
      </w:r>
      <w:r>
        <w:rPr>
          <w:rFonts w:ascii="Times New Roman" w:cs="Times New Roman" w:eastAsia="Times New Roman" w:hAnsi="Times New Roman"/>
          <w:sz w:val="18"/>
          <w:szCs w:val="18"/>
          <w:color w:val="auto"/>
        </w:rPr>
        <w:t xml:space="preserve"> (Canada) or any similar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4.27</w:t>
      </w:r>
      <w:r>
        <w:rPr>
          <w:sz w:val="20"/>
          <w:szCs w:val="20"/>
          <w:color w:val="auto"/>
        </w:rPr>
        <w:tab/>
      </w:r>
      <w:r>
        <w:rPr>
          <w:rFonts w:ascii="Times New Roman" w:cs="Times New Roman" w:eastAsia="Times New Roman" w:hAnsi="Times New Roman"/>
          <w:sz w:val="17"/>
          <w:szCs w:val="17"/>
          <w:b w:val="1"/>
          <w:bCs w:val="1"/>
          <w:color w:val="auto"/>
        </w:rPr>
        <w:t>EEA Financial Institutions</w:t>
      </w:r>
      <w:r>
        <w:rPr>
          <w:rFonts w:ascii="Times New Roman" w:cs="Times New Roman" w:eastAsia="Times New Roman" w:hAnsi="Times New Roman"/>
          <w:sz w:val="17"/>
          <w:szCs w:val="17"/>
          <w:color w:val="auto"/>
        </w:rPr>
        <w:t>. No Credit Party is an EEA Financial Institution.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4.28 Insurance</w:t>
      </w:r>
      <w:r>
        <w:rPr>
          <w:rFonts w:ascii="Times New Roman" w:cs="Times New Roman" w:eastAsia="Times New Roman" w:hAnsi="Times New Roman"/>
          <w:sz w:val="18"/>
          <w:szCs w:val="18"/>
          <w:color w:val="auto"/>
        </w:rPr>
        <w:t>. Each Credit Party maintains, and has caused each of its Subsidiaries to maintain, with financially sound and reputable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 As of the Closing Date, all premiums in respect of such insurance have been paid.</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AFFIRMATIVE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covenants and agrees that so long as any Commitment is in effect and until payment in full in cash of all Obligations (other than contingent indemnity Obligations to the extent no claim giving rise thereto has been asserted), each Credit Party shall perform, and shall cause each of its Subsidiaries to perform, all covenants in this Section 5.</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Financial Statements and Other Reports</w:t>
      </w:r>
      <w:r>
        <w:rPr>
          <w:rFonts w:ascii="Times New Roman" w:cs="Times New Roman" w:eastAsia="Times New Roman" w:hAnsi="Times New Roman"/>
          <w:sz w:val="17"/>
          <w:szCs w:val="17"/>
          <w:color w:val="auto"/>
        </w:rPr>
        <w:t>. The Company will deliver to Administrative Agent and Collateral Agent for each Lender:</w:t>
      </w:r>
    </w:p>
    <w:p>
      <w:pPr>
        <w:spacing w:after="0" w:line="229" w:lineRule="exact"/>
        <w:rPr>
          <w:sz w:val="20"/>
          <w:szCs w:val="20"/>
          <w:color w:val="auto"/>
        </w:rPr>
      </w:pPr>
    </w:p>
    <w:p>
      <w:pPr>
        <w:ind w:left="1900" w:hanging="596"/>
        <w:spacing w:after="0"/>
        <w:tabs>
          <w:tab w:leader="none" w:pos="1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five Business Days after the date on which the Company files or is required to file its Form 10-Q under the Exchange Act (but without giving effect to any extension pursuant to Rule 12b-25 under the Exchange Act (or any successor rule) or otherwise) (or, if the Company is not required to file a Form 10-Q under the Exchange Act, within 60 days after the end of each of the first three Fiscal Quarters of each Fiscal Year), commencing with the Fiscal Quarter ending September 30, 2021, (i) the consolidated balance sheet of the Company and its Subsidiaries as at the end of such Fiscal Quarter and the related consolidated statements of income and cash flows of the Company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prepared in accordance with GAAP and in reasonable detail and certified by the chief financial officer, senior vice president-finance, treasurer or controller of the Company that they fairly present, in all material respects, the consolidated financial condition of the Company and its Subsidiaries as at the dates indicated and the results of their operations and their cash flows for the periods indicated, subject to changes resulting from audit and normal year-end adjustments and the absence of footnotes, and</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narrative report describing the financial condition and results of operations of the Company and its Subsidiaries for such Fiscal Quarter in form and substance reasonably satisfactory to Administrative Agent;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0" w:name="page141"/>
    <w:bookmarkEnd w:id="140"/>
    <w:p>
      <w:pPr>
        <w:jc w:val="both"/>
        <w:ind w:firstLine="1304"/>
        <w:spacing w:after="0" w:line="252" w:lineRule="auto"/>
        <w:tabs>
          <w:tab w:leader="none" w:pos="19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five Business Days after the date on which the Company files or is required to file its Form 10-K under the Exchange Act (but without giving effect to any extension pursuant to Rule 12b-25 under the Exchange Act (or any successor rule) or otherwise) (or, if the Company is not required to file a Form 10-K under the Exchange Act, within 120 days after the end of each Fiscal Year) commencing with the Fiscal Year ending December 31, 2021, (i) the consolidated balance sheet of the Company and its Subsidiaries as at the end of such Fiscal Year and the related consolidated statements of income, stockholder’s equity and cash flows of the Company and its Subsidiaries for such Fiscal Year, setting forth in each case in comparative form the corresponding figures for the previous Fiscal Year, all prepared in accordance with GAAP and in reasonable detail, (ii) a narrative report describing the financial condition and results of operations of the Company and its Subsidiaries in form and substance reasonably satisfactory to Administrative Agent, and (iii) with respect to such consolidated financial statements a report thereon of independent certified public accountants of recognized national standing selected by the Company, and reasonably satisfactory to Administrative Agent (which report shall be unqualified as to going concern and scope of audit, and shall state that such consolidated financial statements fairly present, in all material respects, the consolidated financial position of the Company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together with a written statement by such independent certified public accountants stating (1) that their audit examination has included a review of the terms of the Credit Documents, and (2) whether, in connection therewith, any condition or event that constitutes a Default or an Event of Default under Section 6.8 or otherwise with respect to accounting matters has come to their attention and, if such a condition or event has come to their attention, specifying the nature and period of existence thereof;</w:t>
      </w:r>
    </w:p>
    <w:p>
      <w:pPr>
        <w:spacing w:after="0" w:line="193" w:lineRule="exact"/>
        <w:rPr>
          <w:rFonts w:ascii="Times New Roman" w:cs="Times New Roman" w:eastAsia="Times New Roman" w:hAnsi="Times New Roman"/>
          <w:sz w:val="18"/>
          <w:szCs w:val="18"/>
          <w:color w:val="auto"/>
        </w:rPr>
      </w:pPr>
    </w:p>
    <w:p>
      <w:pPr>
        <w:ind w:right="20" w:firstLine="1304"/>
        <w:spacing w:after="0" w:line="282" w:lineRule="auto"/>
        <w:tabs>
          <w:tab w:leader="none" w:pos="20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Together with each delivery of financial statements of the Company and its Subsidiaries pursuant to Sections 5.1(b) and 5.1(c), a duly executed and completed Compliance Certificate;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Statements of Reconciliation after Change in Accounting Principles</w:t>
      </w:r>
      <w:r>
        <w:rPr>
          <w:rFonts w:ascii="Times New Roman" w:cs="Times New Roman" w:eastAsia="Times New Roman" w:hAnsi="Times New Roman"/>
          <w:sz w:val="18"/>
          <w:szCs w:val="18"/>
          <w:color w:val="auto"/>
        </w:rPr>
        <w:t>. If, as a result of any change in accounting principles and policies from those used in the preparation of the financial statements referred to in Section 4.7, the consolidated financial statements of the Company and its Subsidiaries delivered pursuant to Section 5.1(b) or 5.1(c)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etc</w:t>
      </w:r>
      <w:r>
        <w:rPr>
          <w:rFonts w:ascii="Times New Roman" w:cs="Times New Roman" w:eastAsia="Times New Roman" w:hAnsi="Times New Roman"/>
          <w:sz w:val="18"/>
          <w:szCs w:val="18"/>
          <w:color w:val="auto"/>
        </w:rPr>
        <w:t>. Promptly upon, and in any event within five Business Days after, any officer of the Company or any of its Subsidiaries obtaining knowledge (i) of any condition or event that constitutes a Default or an Event of Default or that notice has been given to the Company or any of its Subsidiaries with respect thereto; (ii) [reserved]; or (iii) of the occurrence of any event or change that has caused or evidences or would reasonably be expected to have, either in any case or in the aggregate, a Material Adverse Effect,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the Company or the applicable Subsidiary has taken, is taking and proposes to take with respect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firstLine="1304"/>
        <w:spacing w:after="0" w:line="255" w:lineRule="auto"/>
        <w:tabs>
          <w:tab w:leader="none" w:pos="19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upon, and in any event within ten Business Days after, any officer of the Company or any of its Subsidiaries obtaining knowledge of (i) alleged criminal misconduct by any Credit Party or any Subsidiary, (ii) the institution of, or non-frivolous threat of, any Adverse Proceeding not previously disclosed in writing by the Company to Lenders, or (iii) any material development in any Adverse Proceeding that, in the case of either (ii) or (iii) if adversely determined,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Company or any of its Subsidiaries to enable Agents, Lenders and their counsel to evaluate such matters;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Promptly upon and in any event within ten Business Days of becoming aware of the occurrence of or forthcoming occurrence of any ERISA Event, a written notice specifying the nature thereof, what action the Company,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upon Administrative Agent’s request, copies of</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Schedule SB (Actuarial Information) to the annual report (Form 5500 Series) filed by the Company, any of its Subsidiaries or any of their respective ERISA Affiliates with respect to each Pension Plan; (2) all notices received from a Multiemployer Plan sponsor concerning an ERISA Event; and (3) copies of such other documents or governmental reports or filings relating to any Employee Benefit Plan as Administrative Agent shall reasonably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Plan</w:t>
      </w:r>
      <w:r>
        <w:rPr>
          <w:rFonts w:ascii="Times New Roman" w:cs="Times New Roman" w:eastAsia="Times New Roman" w:hAnsi="Times New Roman"/>
          <w:sz w:val="18"/>
          <w:szCs w:val="18"/>
          <w:color w:val="auto"/>
        </w:rPr>
        <w:t>. As soon as practicable after the beginning of each Fiscal Year and in any event no later than delivery of the financial statements under Section 5.1(c), a consolidated plan and financial forecast for such Fiscal Year (a “</w:t>
      </w:r>
      <w:r>
        <w:rPr>
          <w:rFonts w:ascii="Times New Roman" w:cs="Times New Roman" w:eastAsia="Times New Roman" w:hAnsi="Times New Roman"/>
          <w:sz w:val="18"/>
          <w:szCs w:val="18"/>
          <w:b w:val="1"/>
          <w:bCs w:val="1"/>
          <w:color w:val="auto"/>
        </w:rPr>
        <w:t>Financial Plan</w:t>
      </w:r>
      <w:r>
        <w:rPr>
          <w:rFonts w:ascii="Times New Roman" w:cs="Times New Roman" w:eastAsia="Times New Roman" w:hAnsi="Times New Roman"/>
          <w:sz w:val="18"/>
          <w:szCs w:val="18"/>
          <w:color w:val="auto"/>
        </w:rPr>
        <w:t>”), including a forecasted consolidated balance sheet and forecasted consolidated statements of income and consolidated statement of cash flows of the Company and its Subsidiaries for such Fiscal Year, together with an explanation of the assumptions on which such forecasts are based;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Report</w:t>
      </w:r>
      <w:r>
        <w:rPr>
          <w:rFonts w:ascii="Times New Roman" w:cs="Times New Roman" w:eastAsia="Times New Roman" w:hAnsi="Times New Roman"/>
          <w:sz w:val="18"/>
          <w:szCs w:val="18"/>
          <w:color w:val="auto"/>
        </w:rPr>
        <w:t>. As soon as practicable and in any event by the last day of each calendar year, a report in form and substance reasonably satisfactory to Administrative Agent outlining all material insurance coverage maintained as of the date of such report by the Company and its Subsidiaries and all material insurance coverage planned to be maintained by the Company and its Subsidiaries in the immediately succeeding calendar year;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Reports</w:t>
      </w:r>
      <w:r>
        <w:rPr>
          <w:rFonts w:ascii="Times New Roman" w:cs="Times New Roman" w:eastAsia="Times New Roman" w:hAnsi="Times New Roman"/>
          <w:sz w:val="18"/>
          <w:szCs w:val="18"/>
          <w:color w:val="auto"/>
        </w:rPr>
        <w:t>. Promptly upon receipt thereof (unless restricted by applicable professional standards), copies of all reports submitted to the Company by independent certified public accountants in connection with each annual, interim or special audit of the financial statements of the Company and its Subsidiaries made by such accountants, including any comment letter submitted by such accountants to management in connection with their annual audit;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1304"/>
        <w:spacing w:after="0" w:line="258" w:lineRule="auto"/>
        <w:tabs>
          <w:tab w:leader="none" w:pos="18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 xml:space="preserve">[Reserved]; </w:t>
      </w:r>
      <w:r>
        <w:rPr>
          <w:rFonts w:ascii="Times New Roman" w:cs="Times New Roman" w:eastAsia="Times New Roman" w:hAnsi="Times New Roman"/>
          <w:sz w:val="18"/>
          <w:szCs w:val="18"/>
          <w:u w:val="single" w:color="auto"/>
          <w:color w:val="0000FF"/>
          <w:strike w:val="1"/>
        </w:rPr>
        <w:t>Liquidity Reports; Cash Flow Forecasts. On Thursday of each week (or if such day is not a Business Day, on the next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succeeding Business Day), a report detailing current liquidity of the Company and its Subsidiaries, which shall include (without limitation) the average cash balances (determined by reference to the preceding week’s Business Days) and 13-week cash flow forecasts for the Company and its Subsidiaries in form and substance satisfactory to the Lenders, including (i) a detailed presentation of key sources and uses of cash flow and (ii) evidence of compliance with the covenant set forth in Section 6.14;</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Reports and Audits</w:t>
      </w:r>
      <w:r>
        <w:rPr>
          <w:rFonts w:ascii="Times New Roman" w:cs="Times New Roman" w:eastAsia="Times New Roman" w:hAnsi="Times New Roman"/>
          <w:sz w:val="18"/>
          <w:szCs w:val="18"/>
          <w:color w:val="auto"/>
        </w:rPr>
        <w:t xml:space="preserve">. As soon as practicable following receipt thereof by the Company or any of its Subsidiaries, copies of all environmental audits and reports, whether prepared by personnel of the Company or any of its Subsidiaries or by independent consultants, with respect to environmental matters at any Facility or which relate to any environmental liabilities of the Company or its Subsidiaries which, in any such case, identify matters that individually or in the aggregate, could reasonably be expected to result in a Material Adverse Effect; </w:t>
      </w:r>
      <w:r>
        <w:rPr>
          <w:rFonts w:ascii="Times New Roman" w:cs="Times New Roman" w:eastAsia="Times New Roman" w:hAnsi="Times New Roman"/>
          <w:sz w:val="18"/>
          <w:szCs w:val="18"/>
          <w:color w:val="FF0000"/>
          <w:strike w:val="1"/>
        </w:rPr>
        <w:t>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(A) Promptly upon their becoming available, copies of (i) all financial statements, reports, notices and proxy statements sent or made available generally by the Company to holders of its Indebtedness or to holders of its public equity securities or by any Subsidiary of the Company to its security holders other than the Company or another Subsidiary of the Company, (ii) all regular and periodic reports and all registration statements and prospectuses, if any, filed by the Company or any of its Subsidiaries with any securities exchange or with the Securities and Exchange Commission or any governmental or private regulatory authority, (iii) all press releases and other statements made available generally by the Company or any of its Subsidiaries to the public concerning material developments in the business of the Company or any of its Subsidiaries, and (B) such other information and data with respect to the Company or any of its Subsidiaries (including financial statements with respect to the Company and its Subsidiaries) as from time to time may be reasonably requested by Administrative Agent or any Lender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and</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2030" w:val="left"/>
        </w:tabs>
        <w:numPr>
          <w:ilvl w:val="0"/>
          <w:numId w:val="7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Aging Reports; Inventory Reports. On Thursday of each week (or if such day is not a Business Day, on the next succeeding </w:t>
      </w:r>
      <w:r>
        <w:rPr>
          <w:rFonts w:ascii="Times New Roman" w:cs="Times New Roman" w:eastAsia="Times New Roman" w:hAnsi="Times New Roman"/>
          <w:sz w:val="18"/>
          <w:szCs w:val="18"/>
          <w:u w:val="single" w:color="auto"/>
          <w:color w:val="0000FF"/>
        </w:rPr>
        <w:t>Business Day), a report detailing accounts receivable aging, accounts payable aging, and a detailed inventory report including inventory balance by category (raw materials, works in progress, and finished goods), and location as of the prior Friday in such form customarily provided by Borrower to the Administrative Agent for the Lenders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-448310</wp:posOffset>
            </wp:positionV>
            <wp:extent cx="63017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0174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-431165</wp:posOffset>
            </wp:positionV>
            <wp:extent cx="63017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0174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Borrower may fulfill the delivery requirements pursuant to Sections 5.1(b), (c) or (n) by filing with the Securities and Exchange Commission reports that contain information and financial statements that conform with the requirements of such Sections. Delivery of the foregoing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the Borrower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 Existence</w:t>
      </w:r>
      <w:r>
        <w:rPr>
          <w:rFonts w:ascii="Times New Roman" w:cs="Times New Roman" w:eastAsia="Times New Roman" w:hAnsi="Times New Roman"/>
          <w:sz w:val="18"/>
          <w:szCs w:val="18"/>
          <w:color w:val="auto"/>
        </w:rPr>
        <w:t>. Each Credit Party will, and will cause each of its Subsidiaries to, at all times (i) preserve and keep in full force and effect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existence and (ii) take all reasonable action to maintain all rights and franchises, licenses and permits necessary or desirable in the normal conduct of its business, except (other than with respect to the existence of the Borrower) to the extent that failure to do so could not reasonably be expected to have a Material Adverse Effect or as otherwise permitted hereunder.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5.3 Payment of Taxes and Claims</w:t>
      </w:r>
      <w:r>
        <w:rPr>
          <w:rFonts w:ascii="Times New Roman" w:cs="Times New Roman" w:eastAsia="Times New Roman" w:hAnsi="Times New Roman"/>
          <w:sz w:val="18"/>
          <w:szCs w:val="18"/>
          <w:color w:val="auto"/>
        </w:rPr>
        <w:t>. Each Credit Party will, and will cause each of its Subsidiaries to, pay all Taxes imposed upon it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properties or assets or in respect of any of its income, businesses or franchises before any penalty or fine accrues thereon, and all claims (including claims for labor, services, materials and supplies) for sums that have become due and payable which, if unpaid, might become a Lien upon any of its properties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such Tax or claim need be paid if (a) it is being contested in good faith by appropriate proceedings promptly instituted and diligently conducted, so long as adequate reserve or other appropriate provision, as shall be required in conformity with GAAP shall have been made therefor, or (b) to the extent that the failure to do so could not, individually or in the aggregate, reasonably be expected to have a Material Adverse Effect. No Credit Party will, nor will it permit any of its Subsidiaries to, file or consent to the filing of any consolidated income tax return with any Person (other than the Company or any of its Subsidiaries).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5.4 Maintenance of Properties</w:t>
      </w:r>
      <w:r>
        <w:rPr>
          <w:rFonts w:ascii="Times New Roman" w:cs="Times New Roman" w:eastAsia="Times New Roman" w:hAnsi="Times New Roman"/>
          <w:sz w:val="18"/>
          <w:szCs w:val="18"/>
          <w:color w:val="auto"/>
        </w:rPr>
        <w:t>. Each Credit Party will, and will cause each of its Subsidiaries to, maintain or cause to be maintained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 working order and condition, ordinary wear and tear excepted, all material properties owned by the Company or its Subsidiaries or used or useful in the business of the Company and its Subsidiaries (including all Intellectual Property) and from time to time will make or cause to be made all appropriate repairs, renewals and replacements thereof.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5.5 Insurance</w:t>
      </w:r>
      <w:r>
        <w:rPr>
          <w:rFonts w:ascii="Times New Roman" w:cs="Times New Roman" w:eastAsia="Times New Roman" w:hAnsi="Times New Roman"/>
          <w:sz w:val="18"/>
          <w:szCs w:val="18"/>
          <w:color w:val="auto"/>
        </w:rPr>
        <w:t>. Each Credit Party will, and will cause each of its Subsidiaries to, maintain with financially sound and reputable carriers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reasonable request of the Administrative Agent, information in reasonable detail as to the insurance so maintained.</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5.6 Inspections</w:t>
      </w:r>
      <w:r>
        <w:rPr>
          <w:rFonts w:ascii="Times New Roman" w:cs="Times New Roman" w:eastAsia="Times New Roman" w:hAnsi="Times New Roman"/>
          <w:sz w:val="18"/>
          <w:szCs w:val="18"/>
          <w:color w:val="auto"/>
        </w:rPr>
        <w:t>. Each Credit Party will, and will cause each of its Subsidiaries to, permit any authorized representatives designated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or Collateral Agent (which, following the occurrence and during the continuance of an Event of Default, may be accompanied by representatives of any Lender) to visit and inspect any of the properties of any Credit Party and any of its respective Subsidiaries, to inspect the Collateral, or otherwise to inspect, copy and take extracts from its and their financial and accounting records, and to discuss its and their properties, assets, affairs, finances and accounts with its and their officers and independent public accountants (it being understood that, prior to the occurrence and continuance of an Event of Default, (x) any such discussions or meetings shall be limited to Administrative Agent and (y) in the case of discussions or meetings with the independent public accountants, only if the Company has been given the opportunity to participate in such discussions or meetings), all upon reasonable notice and at such reasonable times during normal business hours and as often as may reasonably be requested.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4" w:name="page145"/>
    <w:bookmarkEnd w:id="144"/>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5.8 Compliance with Laws</w:t>
      </w:r>
      <w:r>
        <w:rPr>
          <w:rFonts w:ascii="Times New Roman" w:cs="Times New Roman" w:eastAsia="Times New Roman" w:hAnsi="Times New Roman"/>
          <w:sz w:val="18"/>
          <w:szCs w:val="18"/>
          <w:color w:val="auto"/>
        </w:rPr>
        <w:t>. Each Credit Party will comply, and shall cause each of its Subsidiaries to comply, with the requirements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rules, regulations and orders of any Governmental Authority (including all Environmental Laws), noncompliance with which could reasonably be expected to have, individually or in the aggregate, a Material Adverse Effect. Each Credit Party will maintain in effect and enforce policies and procedures designed to ensure compliance by such Credit Party, its Subsidiaries and their respective directors, officers, employees and agents with Anti-Corruption Laws and applicable Sanctions, subject to such non-compliance as is permitted under the notwithstanding clause in Section 4.26.</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20" w:hanging="616"/>
        <w:spacing w:after="0"/>
        <w:tabs>
          <w:tab w:leader="none" w:pos="1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Disclosure</w:t>
      </w:r>
      <w:r>
        <w:rPr>
          <w:rFonts w:ascii="Times New Roman" w:cs="Times New Roman" w:eastAsia="Times New Roman" w:hAnsi="Times New Roman"/>
          <w:sz w:val="18"/>
          <w:szCs w:val="18"/>
          <w:color w:val="auto"/>
        </w:rPr>
        <w:t>. Each Credit Party will, and will cause each of its Subsidiaries to, deliver to Administrative Agent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left="660" w:firstLine="1292"/>
        <w:spacing w:after="0" w:line="256" w:lineRule="auto"/>
        <w:tabs>
          <w:tab w:leader="none" w:pos="25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following receipt thereof, copies of all material environmental audits, investigations, analyses and reports of any kind or character, whether prepared by personnel of the Company or any of its Subsidiaries or by independent consultants, governmental authorities or any other Persons, with respect to significant environmental matters at any Facility or relating to the Company or any of its Subsidiaries or with respect to any Environmental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5.9(a)(i) shall not apply to communications covered by valid claims of attorney client privilege or to attorney work product generated by legal counsel to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7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thereof, written notice describing in reasonable detail (1) any Release required to be reported to any federal, state or local governmental or regulatory agency under any applicable Environmental Laws, (2) any remedial action taken by the Company or any other Person in response to (A) any Hazardous Materials Activities the existence of which has a reasonable possibility of resulting in one or more Environmental Claims or liability under any Environmental Law having, individually or in the aggregate, a Material Adverse Effect, or (B) any Environmental Claims that, individually or in the aggregate, have a reasonable possibility of resulting in a Material Adverse Effect, and (3) the Company or any of its Subsidiaries’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5" w:name="page146"/>
    <w:bookmarkEnd w:id="145"/>
    <w:p>
      <w:pPr>
        <w:jc w:val="both"/>
        <w:ind w:left="660" w:firstLine="1292"/>
        <w:spacing w:after="0" w:line="256" w:lineRule="auto"/>
        <w:tabs>
          <w:tab w:leader="none" w:pos="263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sending or receipt thereof by the Company or any of its Subsidiaries, a copy of any and all written communications to or from any Governmental Authority or any Person bringing an Environmental Claim against the Company or any of its Subsidiaries with respect to: (1) any Environmental Claims that, individually or in the aggregate, have a reasonable possibility of giving rise to a Material Adverse Effect, (2) any Release required to be reported to any Governmental Authority, and (3) any written request for information from any Governmental Authority stating such Governmental Authority is investigating whether the Company or any of its Subsidiaries may be potentially responsible for any Hazardous Materials Activity; and</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66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reasonable promptness, such other documents and information as from time to time may be reasonably requested by Administrative Agent in relation to any matters disclosed pursuant to this Section 5.9(a).</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 Activities, Etc</w:t>
      </w:r>
      <w:r>
        <w:rPr>
          <w:rFonts w:ascii="Times New Roman" w:cs="Times New Roman" w:eastAsia="Times New Roman" w:hAnsi="Times New Roman"/>
          <w:sz w:val="18"/>
          <w:szCs w:val="18"/>
          <w:color w:val="auto"/>
        </w:rPr>
        <w:t>. Each Credit Party shall promptly take, and shall cause each of its Subsidiaries promptly to take, any and all actions necessary to (i) cure any violation of applicable Environmental Laws by such Credit Party or its Subsidiaries that would reasonably be expected to have, individually or in the aggregate, a Material Adverse Effect, and (ii) make an appropriate response to any Environmental Claim against such Credit Party or any of its Subsidiaries and discharge any obligations it may have to any Person thereunder where failure to do so would reasonably be expected to have, individually or in the aggregate, a Material Adverse Effect.</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8"/>
          <w:szCs w:val="18"/>
          <w:b w:val="1"/>
          <w:bCs w:val="1"/>
          <w:color w:val="auto"/>
        </w:rPr>
        <w:t>Additional Collateral</w:t>
      </w:r>
    </w:p>
    <w:p>
      <w:pPr>
        <w:spacing w:after="0" w:line="229" w:lineRule="exact"/>
        <w:rPr>
          <w:sz w:val="20"/>
          <w:szCs w:val="20"/>
          <w:color w:val="auto"/>
        </w:rPr>
      </w:pPr>
    </w:p>
    <w:p>
      <w:pPr>
        <w:jc w:val="both"/>
        <w:ind w:firstLine="1304"/>
        <w:spacing w:after="0" w:line="252" w:lineRule="auto"/>
        <w:tabs>
          <w:tab w:leader="none" w:pos="208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Requirement of Law, each Credit Party will promptly, and in any event within 60 days after the acquisition or formation thereof, cause each Subsidiary (other than any Subsidiary that Administrative Agent elects to forgo such Subsidiary becoming a Credit Party hereunder) formed or acquired after the date of this Agreement to become a Credit Party by executing a Counterpart Agreement; provided, however, that no Foreign Subsidiary (or any Subsidiary thereof) shall be required to become a Credit Party hereunder to the extent (x) Administrative Agent elects to forgo such Foreign Subsidiary becoming a Credit Party hereunder, or (y) if such Foreign Subsidiary is not organized under the applicable law of Canada or any province or territory of Canada, doing so could reasonably be expected to result in material adverse tax consequences to the Credit Parties. In connection therewith, the Administrative Agent and each Lender shall have received all documentation and other information regarding such newly formed or acquired Subsidiaries as may be required to comply with the applicable “know your customer” rules and regulations, including the USA Patriot Act and the Canadian Anti-Money Laundering &amp; Anti-Terrorism Legislation. Upon execution and delivery thereof, each such Person (i) shall automatically become a Guarantor Subsidiary hereunder and thereupon shall have all of the rights, benefits, duties and obligations in such capacity under the Credit Documents, (ii) will grant Liens to the Administrative Agent, for the benefit of the Administrative Agent and the other Secured Parties, in any property of such Credit Party which constitutes Collateral and (iii) will take all such actions and execute and deliver, or cause to be executed and delivered, all Real Estate Asset Deliverables with respect to any Material Real Estate Asset of such Credit Party to create in favor of Collateral Agent, for the benefit of Secured Parties, a valid and, subject to any filing and/or recording referred to herein, perfected first priority lien (in accordance with the priorities set forth in the Intercreditor Agreement) in such Material Real Estate Asset, and reports and other information reasonably satisfactory to Administrative Agent regarding environmental matters with respect to such Material Real Estate Asset.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jc w:val="both"/>
        <w:ind w:firstLine="1304"/>
        <w:spacing w:after="0" w:line="254" w:lineRule="auto"/>
        <w:tabs>
          <w:tab w:leader="none" w:pos="20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Subsidiary, each Credit Party will promptly, and in any event within 60 days of the acquisition or formation thereof, cause (i) 100% of the issued and outstanding Equity Interests of each directly owned Subsidiary (other than any Foreign Subsidiary that is not organized under the applicable law of Canada or any province or territory of Canada), and (ii) 65% (or such greater percentage that could not reasonably be expected to cause any material adverse tax consequences to the Credit Parties) of the issued and outstanding Equity Interests entitled to vote (within the meaning of Treas. Reg. Section 1.956-2(c)(2)) and 100% of the issued and outstanding Equity Interests not entitled to vote (within the meaning of Treas. Reg. Section 1.956-2(c)(2)) in each directly owned Subsidiary that is a Foreign Subsidiary that is not organized under the applicable law of Canada or any province or territory of Canada to, in each case, be subject at all times to a first priority, perfected Lien in favor of the Administrative Agent, for the benefit of the Administrative Agent and the other Secured Parties, pursuant to the terms and conditions of the Credit Documents or other security documents as the Administrative Agent shall reasonably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Credit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fixture filings, mortgages, deeds of hypothec, deeds of trust and other documents and such other actions or deliveries of the type required by Section 3.1, as applicable), which may be required by any Requirement of Law or which the Administrative Agent may, from time to time, reasonably request to carry out the terms and conditions of this Agreement and the other Credit Documents and to ensure perfection and priority of the Liens created or intended to be created by the Collateral Documents, all in form and substance reasonably satisfactory to the Administrative Agent and all at the expense of the Credit Parties. Notwithstanding the foregoing, at any time after an Event of Default has occurred, each Credit Party will, upon the request of the Administrative Agent, cause each Foreign Subsidiary that is not a Credit Party, to become a Credit Party and a Subsidiary Guarantor and to grant Liens to the Administrative Agent on its assets and have the balance of its Equity Interests pledged (if not pledged at such time) to the Administrative Agent.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assets (including any real property or improvements thereto or any interest therein) are acquired by any Credit Party after the Closing Date (other than assets constituting Collateral under any Collateral Document that become subject to the Lien under such Collateral Document upon acquisition thereof), the Borrower will (i) promptly, and in any event within 10 days of the acquisition thereof, notify the Administrative Agent and the Lenders thereof and, to the extent required pursuant to the terms of the Collateral Documents, cause such assets to be subjected to a Lien securing the Obligations and (ii) promptly, and in any event within 60 days of the acquisition thereof (or such longer period as the Administrative Agent may agree in its sole direction), take, and cause each applicable Credit Party to take, such actions as shall be necessary or reasonably requested by the Administrative Agent to grant and perfect such Liens, including actions described in paragraphs (a)(iii) and (c) of this Section, all at the expense of the Credit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5.12 After the Closing Date</w:t>
      </w:r>
      <w:r>
        <w:rPr>
          <w:rFonts w:ascii="Times New Roman" w:cs="Times New Roman" w:eastAsia="Times New Roman" w:hAnsi="Times New Roman"/>
          <w:sz w:val="18"/>
          <w:szCs w:val="18"/>
          <w:color w:val="auto"/>
        </w:rPr>
        <w:t>. Each Credit Party, as applicable, shall execute and deliver and complete the tasks set forth on Schedule 5.12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 each case within the time limit specified on such Schedule (or such later times as the Administrative Agent may agree).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5.13 Further Assurances</w:t>
      </w:r>
      <w:r>
        <w:rPr>
          <w:rFonts w:ascii="Times New Roman" w:cs="Times New Roman" w:eastAsia="Times New Roman" w:hAnsi="Times New Roman"/>
          <w:sz w:val="18"/>
          <w:szCs w:val="18"/>
          <w:color w:val="auto"/>
        </w:rPr>
        <w:t>. At any time or from time to time upon the request of Administrative Agent or Collateral Agent, each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at its expense, promptly execute, acknowledge and deliver such further documents and do such other acts and things as Administrative Agent or Collateral Agent may reasonably request in order to effect fully the purposes of the Credit Documents. In furtherance and not in limitation of the foregoing, each Credit Party shall take such actions as Administrative Agent or Collateral Agent may reasonably request from time to time to ensure that the Obligations are guaranteed by the Guarantors and are secured by substantially all of the assets of the Company, and its Subsidiaries and all of the outstanding Capital Stock of the Company and its Subsidiaries (in each case subject to limitations contained in the Credit Documents).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5.14 ERISA</w:t>
      </w:r>
      <w:r>
        <w:rPr>
          <w:rFonts w:ascii="Times New Roman" w:cs="Times New Roman" w:eastAsia="Times New Roman" w:hAnsi="Times New Roman"/>
          <w:sz w:val="18"/>
          <w:szCs w:val="18"/>
          <w:color w:val="auto"/>
        </w:rPr>
        <w:t>. Neither the Company, any of its Subsidiaries nor any of their respective ERISA Affiliates shall establish, maintain, contribute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or become required to contribute to any Multiemployer Plan.</w:t>
      </w:r>
    </w:p>
    <w:p>
      <w:pPr>
        <w:spacing w:after="0" w:line="15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NEGATIVE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covenants and agrees that, so long as any Commitment is in effect and until payment in full in cash of all Obligations (other than contingent indemnity Obligations to the extent no claim giving rise thereto has been asserted), such Credit Party shall perform, and shall cause each of its Subsidiaries to perform, all covenants in this Section 6.</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 Indebtedness</w:t>
      </w:r>
      <w:r>
        <w:rPr>
          <w:rFonts w:ascii="Times New Roman" w:cs="Times New Roman" w:eastAsia="Times New Roman" w:hAnsi="Times New Roman"/>
          <w:sz w:val="18"/>
          <w:szCs w:val="18"/>
          <w:color w:val="auto"/>
        </w:rPr>
        <w:t>. The Company shall not, and shall not permit any of its Subsidiaries to, directly or indirectly, create, incur, assume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or otherwise become or remain directly or indirectly liable with respect to any Indebtedness, except:</w:t>
      </w:r>
    </w:p>
    <w:p>
      <w:pPr>
        <w:spacing w:after="0" w:line="159" w:lineRule="exact"/>
        <w:rPr>
          <w:sz w:val="20"/>
          <w:szCs w:val="20"/>
          <w:color w:val="auto"/>
        </w:rPr>
      </w:pPr>
    </w:p>
    <w:p>
      <w:pPr>
        <w:ind w:left="1900" w:hanging="596"/>
        <w:spacing w:after="0"/>
        <w:tabs>
          <w:tab w:leader="none" w:pos="1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become and remain liable with respect to Indebtedness to any of its wholly-owned Guarantor Subsidiaries, and any wholly-owned Guarantor Subsidiary of the Company may become and remain liable with respect to Indebtedness to the Company or any other wholly-owned Guarantor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all such Indebtedness under this subclause (b) shall be (x) evidenced by promissory notes and all such notes shall be subject to a First Priority or Second Priority Lien (in accordance with the priorities set forth in the Intercreditor Agreement) pursuant to the applicable Security Agreement and (y) unsecured and subordinated in right of payment to the payment in full of the Obligations pursuant to the terms of the applicable promissory notes or an intercompany subordination agreement that in any such case, is reasonably satisfactory to Administrative Agent, and (ii) any payment by any such Subsidiary under any guaranty of the Obligations shall result in a </w:t>
      </w:r>
      <w:r>
        <w:rPr>
          <w:rFonts w:ascii="Times New Roman" w:cs="Times New Roman" w:eastAsia="Times New Roman" w:hAnsi="Times New Roman"/>
          <w:sz w:val="18"/>
          <w:szCs w:val="18"/>
          <w:u w:val="single" w:color="auto"/>
          <w:color w:val="auto"/>
        </w:rPr>
        <w:t>pro tanto</w:t>
      </w:r>
      <w:r>
        <w:rPr>
          <w:rFonts w:ascii="Times New Roman" w:cs="Times New Roman" w:eastAsia="Times New Roman" w:hAnsi="Times New Roman"/>
          <w:sz w:val="18"/>
          <w:szCs w:val="18"/>
          <w:color w:val="auto"/>
        </w:rPr>
        <w:t xml:space="preserve"> reduction of the amount of any Indebtedness owed by such Subsidiary to the Company or to any of its Subsidiaries for whose benefit such payment is made;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8" w:name="page149"/>
    <w:bookmarkEnd w:id="148"/>
    <w:p>
      <w:pPr>
        <w:jc w:val="both"/>
        <w:ind w:firstLine="1304"/>
        <w:spacing w:after="0" w:line="266" w:lineRule="auto"/>
        <w:tabs>
          <w:tab w:leader="none" w:pos="21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non-Guarantor Subsidiary may become and remain liable with respect to Indebtedness to the Company or any other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to the Company or to any other Credit Party shall not exceed the greater of (x) $10,000,000 and (y) 10% of Consolidated Adjusted EBITDA of the Company as of the most recently ended Test Period;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and its Subsidiaries arising in respect of netting services or overdraft protections with deposit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is extinguished within three Business Days of its incurrence;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by the Company of Indebtedness of a Guarantor Subsidiary or guaranties by a Subsidiary of the Company of Indebtedness of the Company or a Guarantor Subsidiary with respect, in each case, to Indebtedness otherwise permitted to be incurred pursuant to this Section 6.1;</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its Subsidiaries existing on the Closing Date and described in Schedule 6.1(f), but not any extensions, renewals, refinancings or replacements of such Indebtedness except (i) renewals and extensions expressly provided for in the agreements evidencing any such Indebtedness as the same are in effect on the Closing Date and (ii) refinancings and extensions of any such Indebtedness if the terms and conditions thereof are not materially less favorable (taken as a whole) to the obligor thereon or to the Lenders than the Indebtedness being refinanced or extended, and the average life to maturity thereof is greater than or equal to that of the Indebtedness being refinanced or extended; provided, such Indebtedness permitted under the immediately preceding clause (i) or (ii) above shall not (A) include Indebtedness of an obligor that was not an obligor with respect to the Indebtedness being extended, renewed or refinanced or (B) exceed in a principal amount the Indebtedness being renewed, extended or refinanced;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Indebtedness of the Company and its Subsidiaries and Capital Leases (other than in connection with sale-leaseback transactions) of the Company and its Subsidiaries, in each case incurred in the ordinary course of business to provide all or a portion of the purchase price or cost of construction of an asset or an improvement of an asset not constituting part of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Indebtedness when incurred shall not exceed the purchase price or cost of improvement or construction of such asset, (B) no such Indebtedness shall be refinanced for a principal amount in excess of the principal balance outstanding thereon at the time of such refinancing, (C) such Indebtedness shall be secured only by the asset acquired, constructed or improved in connection with the incurrence of such Indebtedness and (D) the aggregate principal amount of all such Indebtedness shall not exceed the greater of (x) $10,000,000 at any time outstanding and (y) 10% of Consolidated Adjusted EBITDA of the Company for the most recently ended Test Period at any time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ind w:firstLine="1304"/>
        <w:spacing w:after="0" w:line="282" w:lineRule="auto"/>
        <w:tabs>
          <w:tab w:leader="none" w:pos="211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the Company and its Subsidiaries in an aggregate principal amount not to exceed the greater of (x) $50,000,000 and (y) 50% of Consolidated Adjusted EBITDA of the Company for the most recently ended Test Period at any time outstanding;</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under any Hedge Agreement entered into in the ordinary course of business and not for speculative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the Revolving Credit Documents in an aggregate principal amount not to exceed an amount equal to the greater of (x) $200,000,000 and (y) 200% of Consolidated Adjusted EBITDA of the Company for the most recently ended Test Period (less the amount of all permanent reductions of the commitments under the Revolving Credit Facility) and any Permitted Refinancing of the Revolving Credit Facility;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the Company and its Subsidiaries associated with the deferred purchase price of acquisitions consummated on or prior to the Closing Date and described in Schedule 6.1(k) and (ii) to the extent constituting Indebtedness, unsecured earnouts, seller notes and seller Indebtedness issued in connection with any Permitted Acquisition not to exceed $30,000,000 at any time outstanding;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existing at the time such Person becomes a Subsidiary of the Company following the Closing Date, which Indebtedness is in existence at the time such Person becomes a Subsidiary and is not created in connection with or in contemplation of such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such Indebtedness in the aggregate shall not exceed the greater of (x) $10,000,000 and (y) 10% of Consolidated Adjusted EBITDA of the Company for the most recently ended Test Period at any time outstanding;</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deferred compensation arrangements with respect to any Employee Benefit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Leases of the Company entered into in connection with sale-leaseback transactions permitted by Section 6.3;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 such Indebtedness shall be refinanced for a principal amount in excess of the principal balance outstanding thereon at the time of such refinancing and (B) such Indebtedness shall be secured only by the facility which is the subject of such Capital Lease;</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of Subsidiaries that are not Credit Parties in an aggregate principal amount not to exceed the greater of</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and (y) 10% of Consolidated Adjusted EBITDA of the Company for the most recently ended Test Period;</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1304"/>
        <w:spacing w:after="0" w:line="251" w:lineRule="auto"/>
        <w:tabs>
          <w:tab w:leader="none" w:pos="20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Subsidiary (“</w:t>
      </w:r>
      <w:r>
        <w:rPr>
          <w:rFonts w:ascii="Times New Roman" w:cs="Times New Roman" w:eastAsia="Times New Roman" w:hAnsi="Times New Roman"/>
          <w:sz w:val="18"/>
          <w:szCs w:val="18"/>
          <w:b w:val="1"/>
          <w:bCs w:val="1"/>
          <w:color w:val="auto"/>
        </w:rPr>
        <w:t>Permitted Ratio Debt</w:t>
      </w:r>
      <w:r>
        <w:rPr>
          <w:rFonts w:ascii="Times New Roman" w:cs="Times New Roman" w:eastAsia="Times New Roman" w:hAnsi="Times New Roman"/>
          <w:sz w:val="18"/>
          <w:szCs w:val="18"/>
          <w:color w:val="auto"/>
        </w:rPr>
        <w:t xml:space="preserve">”) in an unlimited amount so long as, on the date of incurrence thereof after giving effect to the incurrence of such Permitted Ratio Debt and the application of the proceeds thereof (without netting the cash proceeds thereof), (i) if such Indebtedness is secured by a Lien on the Collateral that is pari passu (but without regard to the control of remedies) with the Liens securing the Obligations, the First Lien Debt Ratio does not exceed (A) 3.00 to 1.00 or (B) to the extent such Permitted Ratio Debt is incurred in connection with an acquisition or other Investment permitted hereunder, the greater of (x) 3.00 to 1.00 and (y) the First Lien Debt Ratio immediately prior to such incurrence and such permitted acquisition or Investment, (ii) if such Indebtedness is secured by a Lien on the Collateral that is junior to the Liens securing the Obligations, the Secured Debt Ratio does not exceed (A) 3.50 to 1.00 or (B) to the extent such Permitted Ratio Debt is incurred in connection with an acquisition or other Investment permitted hereunder, the greater of (x) 3.50 to 1.00 and (y) the Secured Debt Ratio immediately prior to such incurrence and such permitted acquisition or Investment and (iii) if such Indebtedness is unsecured or, in the case of any Permitted Ratio Debt incurred by any Subsidiary that is not a Guarantor Subsidiary, is secured by a Lien solely on assets or property of such non-Guarantor Subsidiary that do not constitute Collateral, the Total Leverage Ratio does not exceed (A) 4.00 to 1.00 or (B) to the extent such Permitted Ratio Debt is incurred in connection with an acquisition or other Investment permitted hereunder, the greater of (x) 4.00 to 1.00 and (y) the Total Leverage Ratio immediately prior to such incurrence and such permitted acquisition or Investment; provided that (a) no Default or Event of Default shall exist on the date of incurrence thereof before or after giving effect to such Permitted Ratio Debt (except with respect to any use of Permitted Ratio Debt in connection with a Limited Condition Transaction, no such Default or Event of Default shall exist at the time elected by the Company pursuant to Section 1.6), (b) the final maturity date of any Permitted Ratio Debt shall be no earlier than the Maturity Date (provided, that the foregoing limitation shall not apply to a customary bridge facility which, subject to customary conditions, automatically converts into long-term debt satisfying the requirements of this clause (b)), (c) the weighted average life to maturity of any such Permitted Ratio Debt shall be no earlier than the weighted average life to maturity of the Term Loans (provided that the foregoing limitation shall not apply to a customary bridge facility which, subject to customary conditions, automatically converts into long-term debt satisfying the requirements of this clause (c)), (d) if such Indebtedness is secured by a Lien on the Collateral, the applicable Other Debt Representative shall have become party to a Pari Intercreditor Agreement or Junior Intercreditor Agreement (as applicable), (e) such Permitted Ratio Debt may not be guaranteed by any Subsidiary of the Company other than a Subsidiary Guarantor or secured by Liens on any assets of the Company other than the Collateral, except Permitted Ratio Debt that is incurred by a Subsidiary that is not a Guarantor and is otherwise permitted pursuant to this clause (q) may be guaranteed solely by other Subsidiaries that are not Guarantors (and, if applicable, secured by a Lien solely on assets or property of such non-Guarantor Subsidiary that do not constitute Collateral), (f) any such Permitted Ratio Debt that is pari passu in right of payment and security with the Term Loans may provide for the ability to participate (i) a pro rata basis or non-pro rata basis in any voluntary prepayment of Term Loans, in each case, made pursuant to Section 2.12 and (ii) on a pro rata or less than pro rata basis (but not on a greater than pro rata basis, other than in the case of prepayment with proceeds of Indebtedness refinancing such Permitted Ratio Debt) in any mandatory prepayment of Term Loans required pursuant to Section 2.13, (g) the MFN Adjustment shall apply mutatis mutandis to any such Permitted Ratio Debt in the form of term loans secured on a pari passu basis with the Term Loans as if such Permitted Ratio Debt were Additional Term Loans, (h) except as otherwise required in clauses (a) through (g) above, all other terms of such Permitted Ratio Debt will be as agreed with the Company and the lenders providing such Permitted Ratio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such terms are not consistent with the terms in respect of the Term Loans, they shall be not materially more restrictive (as determined by the Company in good faith), when taken as a whole, than those under the Term Loans (except for covenants or other provisions (x) applicable only to periods after the Maturity Date, (y) that are also added for the benefit of the Term Loans or (z) that are reasonably satisfactory to the Administrative Agent) and (i) the aggregate amount of Permitted Ratio Debt incurred by Subsidiaries that are not Guarantor Subsidiaries shall not exceed the greater of (x) $10,000,000 and (y) 10% of Consolidated Adjusted EBITDA of the Company for the most recently ended Test Period.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1" w:name="page152"/>
    <w:bookmarkEnd w:id="15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6.2 Liens</w:t>
      </w:r>
      <w:r>
        <w:rPr>
          <w:rFonts w:ascii="Times New Roman" w:cs="Times New Roman" w:eastAsia="Times New Roman" w:hAnsi="Times New Roman"/>
          <w:sz w:val="18"/>
          <w:szCs w:val="18"/>
          <w:color w:val="auto"/>
        </w:rPr>
        <w:t>. The Company shall not, and shall not permit any of its Subsidiaries to, directly or indirectly, create, incur, assume or permit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 any Lien on or with respect to any property or asset of any kind (including any document or instrument in respect of goods or accounts receivable) of the Company or any such Subsidiaries, whether now owned or hereafter acquired, or any income or profits therefrom, except:</w:t>
      </w:r>
    </w:p>
    <w:p>
      <w:pPr>
        <w:spacing w:after="0" w:line="175" w:lineRule="exact"/>
        <w:rPr>
          <w:sz w:val="20"/>
          <w:szCs w:val="20"/>
          <w:color w:val="auto"/>
        </w:rPr>
      </w:pPr>
    </w:p>
    <w:p>
      <w:pPr>
        <w:ind w:left="1900" w:hanging="596"/>
        <w:spacing w:after="0"/>
        <w:tabs>
          <w:tab w:leader="none" w:pos="1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Collateral Agent for the benefit of Secured Parties granted pursuant to any Credit Document;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required to be paid pursuant to Section 5.3;</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banks (and rights of set-off), of carriers, warehousemen, mechanics, repairmen, workmen and materialmen, and other Liens imposed by law (other than any such Lien imposed pursuant to Section 430(k) of the Internal Revenue Code or under Sections 303(k) or 4068 of ERISA), in each case incurred in the ordinary course of business (i) for amounts not yet overdue or (ii) for amounts that are overdue and that (in the case of any such amounts overdue for a period in excess of five days) are being contested in good faith by appropriate proceedings, so long as such reserves or other appropriate provisions, if any, as shall be required by GAAP shall have been made for any such contested amounts;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encroachments, minor defects or irregularities in title and other similar charges, in each case which do not and will not interfere in any material respect with the use or value of the property or asset to which it relates or which appear on any title policy required to be delivered to the Collateral Agent pursuant to Section 5.10 or Section 5.12(b);</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operating or true lease of real estate entered into by the Company or its Subsidiaries in the ordinary course of its business covering only the assets so leased;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2" w:name="page153"/>
    <w:bookmarkEnd w:id="152"/>
    <w:p>
      <w:pPr>
        <w:ind w:firstLine="1304"/>
        <w:spacing w:after="0" w:line="282" w:lineRule="auto"/>
        <w:tabs>
          <w:tab w:leader="none" w:pos="197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or PPSA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not constituting an Event of Default under Section 8.1(h);</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by the Company or any of its Subsidiaries in the ordinary course of business consistent with past practice and not interfering in any respect with the ordinary conduct of the business of the Company or such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and rights of set-off with respect to customary depositary arrangements entered into in the ordinary course of business of the Company and its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granted by the Company or its Subsidiaries existing on the Closing Date and described in Schedule 6.2;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 such Lien shall at any time be extended to cover property or assets other than the property or assets subject thereto on the Closing Date and (B) the principal amount of the Indebtedness secured by such Liens shall not be extended, renewed, refunded, replaced or refinanced except as otherwise permitted by Section 6.1(f);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 Indebtedness permitted pursuant to Section 6.1(g),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Lien shall encumber only the asset acquired, constructed or improved with the proceeds of such Indebtedness and (ii) Indebtedness permitted pursuant to Section 6.1(n), provided any such Lien shall encumber only the facility that is the subject of such Capital Lease;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6.1(l); provided that such Liens are of a type described in Section 6.2(l)(i) and are not created in contemplation of or in connection with such Person becoming a Subsidiary, such Liens will not apply to any other property of the Company or any of its Subsidiaries, and such Liens will secure only those obligations secured by such Liens on the date such Person becomes a Subsidiary;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6.1(j) as long as such Liens are subject to the Intercreditor Agreement;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Sections 6.1(p) and 6.1(q);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Liens so long as the aggregate outstanding principal amount of the obligations secured thereby at the time such Lien is incurred does not exceed the greater of (x) $50,000,000 and (y) 50% of Consolidated Adjusted EBITDA of the Company for the most recently ended Test Period.</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6.3 Sales and Leasebacks</w:t>
      </w:r>
      <w:r>
        <w:rPr>
          <w:rFonts w:ascii="Times New Roman" w:cs="Times New Roman" w:eastAsia="Times New Roman" w:hAnsi="Times New Roman"/>
          <w:sz w:val="18"/>
          <w:szCs w:val="18"/>
          <w:color w:val="auto"/>
        </w:rPr>
        <w:t>. The Company shall not, and shall not permit any of its Subsidiaries to directly or indirectly, become or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liable as lessee or as a guarantor or other surety with respect to any lease, whether an operating lease or a Capital Lease, of any property (whether real, personal or mixed), whether now owned or hereafter acquired, (a) which the Company or any of its Subsidiaries has sold or transferred or is to sell or transfer to any other Person (other than the Company or any of its Subsidiaries) or (b) which the Company or any of its Subsidiaries intends to use for substantially the same purpose as any other property which has been or is to be sold or transferred by such Credit Party to any Person (other than the Company or any of its Subsidiaries) in connection with such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Subsidiaries may become and remain liable as lessee, guarantor or other surety with respect to any such lease which is a Capital Lease permitted pursuant to Section 6.1(g);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the material terms and conditions of such sale-leaseback transaction (including any Capital Lease in connection with such transaction) shall be reasonably satisfactory to the Administrative Agent, (B) [reserved], (C) the lessor (or lenders under any Capital Lease) in connection with such transaction shall agree to provide Collateral Agent access to the Collateral located at such facility pursuant to an agreement reasonably satisfactory to Administrative Agent and the Collateral Agent (the terms of which shall include subordination and non-disturbance provisions with respect to any such Collateral, and other terms as may be reasonably required by Administrative Agent or the Collateral Agent), (D) the amount of consideration payable to the Company or its Subsidiaries (and the aggregate principal amount of Indebtedness in respect of any Capital Leases) in any such transaction shall not exceed the fair market value of any such facility (determined in good faith by the board of directors of the Company (or similar governing body)) and (E) the Net Asset Sale Proceeds with respect to any such Capital Lease shall be applied to repay Indebtedness to the extent required pursuant to Section 2.14(b).</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6.4 No Further Negative Pledges</w:t>
      </w:r>
      <w:r>
        <w:rPr>
          <w:rFonts w:ascii="Times New Roman" w:cs="Times New Roman" w:eastAsia="Times New Roman" w:hAnsi="Times New Roman"/>
          <w:sz w:val="18"/>
          <w:szCs w:val="18"/>
          <w:color w:val="auto"/>
        </w:rPr>
        <w:t>. Except (i) pursuant to this Agreement, (ii) pursuant to the terms of Indebtedness permitted under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6.1(j), 6.1(l), 6.1(p) and 6.1(q), (iii) with respect to specific property encumbered to secure payment of particular Indebtedness or to be sold pursuant to an executed agreement with respect to a permitted Asset Sale, (iv) pursuant to customary non-assignment or no-subletting clauses in leases, licenses or contracts entered into in the ordinary course of business, which restrict only the assignment of such lease, license or contract, as applicable, or (v) in connection with purchase money financing or Capital Leases permitted under Section 6.1(g) or 6.1(n)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prohibition applies only to the asset being acquired or constructed, or which is the subject of such Capital Lease), the Company shall not, and shall not permit any of its Subsidiaries to, enter into any agreement prohibiting the creation or assumption of any Lien upon any of its properties or assets, whether now owned or hereafter acquired.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6.5 Restricted Payments</w:t>
      </w:r>
      <w:r>
        <w:rPr>
          <w:rFonts w:ascii="Times New Roman" w:cs="Times New Roman" w:eastAsia="Times New Roman" w:hAnsi="Times New Roman"/>
          <w:sz w:val="18"/>
          <w:szCs w:val="18"/>
          <w:color w:val="auto"/>
        </w:rPr>
        <w:t>. The Company shall not, and shall not permit any of its Subsidiaries or Affiliates through any manner or means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any other Person to, directly or indirectly, declare, order, pay, make or set apart, or agree to declare, order, pay, make or set apart, or agree to declare, order, pay, make or set apart, any sum for any Restricted Payment except that:</w:t>
      </w:r>
    </w:p>
    <w:p>
      <w:pPr>
        <w:spacing w:after="0" w:line="175" w:lineRule="exact"/>
        <w:rPr>
          <w:sz w:val="20"/>
          <w:szCs w:val="20"/>
          <w:color w:val="auto"/>
        </w:rPr>
      </w:pPr>
    </w:p>
    <w:p>
      <w:pPr>
        <w:ind w:firstLine="1304"/>
        <w:spacing w:after="0" w:line="282" w:lineRule="auto"/>
        <w:tabs>
          <w:tab w:leader="none" w:pos="190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the Company may make Restricted Payments (i) to the Company or to any parent entity of such Subsidiary which is a wholly-owned Guarantor Subsidiary and (ii) on a pro rata basis to the equity holders of any other Guarantor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3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 long as no Default or Event of Default shall have occurred and be continuing or shall be caused thereby, the Company and its Subsidiaries may make prepayments and regularly scheduled payments of principal and interest in respect of any Indebtedness permitted under Sections 6.1(b), (ii) the Company and its Subsidiaries may make scheduled payments and mandatory prepayments of principal, and regularly scheduled payments of interest in respect of and, so long as no Default or Event of Default shall have occurred and be continuing, voluntary repayments of, any Indebtedness permitted under Section 6.1(h), (iii) the Company and its Subsidiaries may make mandatory prepayments and regularly scheduled payments of principal and interest in respect of any Other Debt permitted under Section 6.1, but only to the extent such payments are permitted by the terms, and subordination provisions (if any) applicable to, such Indebtedness, (iv) the Company and its Subsidiaries may make payments in respect of guarantees permitted under Section 6.1(e) to the extent the Indebtedness guaranteed thereby is permitted to be paid under this Section 6.5 (in each case under the foregoing subclauses (i), (ii) and (iii) in accordance with the terms of, and only to the extent required by, and subject to the subordination provisions contained in, the indenture or other agreement pursuant to which such Indebtedness as issued) and (v) the Company and its Subsidiaries may make payments of Other Debt to the extent permitted by Section 6.16;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4" w:name="page155"/>
    <w:bookmarkEnd w:id="154"/>
    <w:p>
      <w:pPr>
        <w:jc w:val="both"/>
        <w:ind w:firstLine="1304"/>
        <w:spacing w:after="0" w:line="261" w:lineRule="auto"/>
        <w:tabs>
          <w:tab w:leader="none" w:pos="19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shall have occurred and be continuing or shall be caused thereby, the Company may make Restricted Payments to repurchase shares of, or options to purchase shares of, Capital Stock of the Company from employees, officers or directors of the Company or any Subsidiaries thereof in any aggregate amount not to exceed $5,000,000 in any calendar year or $20,000,000 in the aggregate since the Closing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Restricted Payments in an aggregate amount not to exceed the greater of (x) $50,000,000 and (y) 50% of Consolidated Adjusted EBITDA of the Company for the most recently ended Test Period since the Closing Date; provided that, notwithstanding the foregoing, any Restricted Payment under this Section 6.5(d) may only be made so long as no Default or Event of Default has occurred or is continuing or shall be caused thereby after giving effect to such Restricted Payment;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Restricted Payments of required withholding Taxes resulting from the net settlement of restricted stock units issued by the Company in an amount not to exceed (i) $15,000,000 in Fiscal Year 2022, (ii) $15,000,000 in Fiscal Year 2023 and (iii) $7,500,000 in each Fiscal Year thereafter;</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2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Restricted Payments in an aggregate amount not to exceed the Available Amount as of the date of such payment; provided that no Default or Event of Default shall have occurred and be continuing or would result therefrom;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additional Restricted Payments if, after giving effect thereto, the Total Leverage Ratio calculated on the date of incurrence thereof would be less than 2.50 to 1.00; provided that no Default or Event of Default shall have occurred and be continuing or would result therefrom.</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6.6 Restrictions on Subsidiary Distributions</w:t>
      </w:r>
      <w:r>
        <w:rPr>
          <w:rFonts w:ascii="Times New Roman" w:cs="Times New Roman" w:eastAsia="Times New Roman" w:hAnsi="Times New Roman"/>
          <w:sz w:val="18"/>
          <w:szCs w:val="18"/>
          <w:color w:val="auto"/>
        </w:rPr>
        <w:t>. The Company shall not, and shall not permit any of its Subsidiaries to,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or otherwise cause or suffer to exist or become effective any consensual encumbrance or restriction of any kind on the ability of any Subsidiary of the Company to (a) pay dividends or make any other distributions on any of such Subsidiary’s Capital Stock owned by the Company or by any other Subsidiary of the Company, (b) repay or prepay any Indebtedness owed by such Subsidiary to the Company or to any other Subsidiary of the Company, (c) make loans or advances to the Company or to any other Subsidiary of the Company, or (d) transfer any of its property or assets to the Company or to any other Subsidiary of the Company other than restrictions (i) existing under this Agreement or the Revolving Credit Documents (as in effect on the Closing Date), (ii) in agreements evidencing Indebtedness permitted by Sections 6.1(g) and 6.1(l) that impose restrictions on the property so acquired, (iii) by reason of customary provisions restricting assignments, subletting or other transfers contained in leases, licenses, Joint Venture agreements and similar agreements entered into in the ordinary course of business, (iv) [reserved], (v) customary restrictions on assets that are the subject of an Asset Sale permitted by Section 6.9 or a Capital Lease permitted by Section 6.1(n) and (vi) in agreements evidencing Indebtedness permitted by Section 6.1(p) or 6.1(q), in each case, so long as such restrictions are not more restrictive, taken as a whole, than the restrictions set forth in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6.7 Investments</w:t>
      </w:r>
      <w:r>
        <w:rPr>
          <w:rFonts w:ascii="Times New Roman" w:cs="Times New Roman" w:eastAsia="Times New Roman" w:hAnsi="Times New Roman"/>
          <w:sz w:val="18"/>
          <w:szCs w:val="18"/>
          <w:color w:val="auto"/>
        </w:rPr>
        <w:t>. The Company shall not, and shall not permit any of its Subsidiaries to, directly or indirectly, make or own any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Person, including without limitation any Joint Venture, except:</w:t>
      </w:r>
    </w:p>
    <w:p>
      <w:pPr>
        <w:spacing w:after="0" w:line="159" w:lineRule="exact"/>
        <w:rPr>
          <w:sz w:val="20"/>
          <w:szCs w:val="20"/>
          <w:color w:val="auto"/>
        </w:rPr>
      </w:pPr>
    </w:p>
    <w:p>
      <w:pPr>
        <w:ind w:left="1900" w:hanging="596"/>
        <w:spacing w:after="0"/>
        <w:tabs>
          <w:tab w:leader="none" w:pos="1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the Company or any of its Subsidiaries in Subsidiary Guarantors which are wholly-owned Subsidiaries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firstLine="1304"/>
        <w:spacing w:after="0" w:line="282" w:lineRule="auto"/>
        <w:tabs>
          <w:tab w:leader="none" w:pos="20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by the Company or any of its Subsidiaries in connection with the bankruptcy or reorganization of, or settlement of delinquent accounts and disputes with, customers or suppliers of such Person,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arising, and trade credit granted, in the ordinary course of business of the Company and its Subsidiaries, and any Securities received by the Company or any of its Subsidiaries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to the extent permitted under Section 6.1(b);</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Capital Expenditures by the Company or any of its Subsidiaries;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by the Company or any of its Subsidiaries to employees of the Company and its Subsidiaries made in the ordinary course of business in an aggregate principal amount not to exceed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$2,500,000 at any time outstanding;</w:t>
      </w:r>
    </w:p>
    <w:p>
      <w:pPr>
        <w:spacing w:after="0" w:line="225" w:lineRule="exact"/>
        <w:rPr>
          <w:sz w:val="20"/>
          <w:szCs w:val="20"/>
          <w:color w:val="auto"/>
        </w:rPr>
      </w:pPr>
    </w:p>
    <w:p>
      <w:pPr>
        <w:ind w:left="1980" w:hanging="676"/>
        <w:spacing w:after="0"/>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any of its Subsidiaries made in connection with Permitted Acquisitions permitted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6.9(d);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6" w:name="page157"/>
    <w:bookmarkEnd w:id="156"/>
    <w:p>
      <w:pPr>
        <w:ind w:firstLine="1304"/>
        <w:spacing w:after="0" w:line="282" w:lineRule="auto"/>
        <w:tabs>
          <w:tab w:leader="none" w:pos="19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any of its Subsidiaries constituting non-Cash consideration received by the Company and its Subsidiaries in connection with permitted Asset Sales pursuant to subsection 6.9(c);</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may continue to own the Investments owned by them as of the Closing Date and described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6.7;</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by the Company or any of its Subsidiaries in an aggregate amount not to exceed $75,000,000 since the Closing Date, if no Default or Event of Default has occurred or is continuing or would result therefrom;</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6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by the Company or any of its Subsidiaries in an aggregate amount not to exceed the Available Amount as of such date, if no Default or Event of Default has occurred or is continuing or would result therefrom;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by the Company or any of its Subsidiaries if, after giving effect thereto, the Total Leverage Ratio calculated on the date of incurrence thereof would be less than 3.00 to 1.00, if no Default or Event of Default has occurred or is continuing or would result therefrom.</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any Credit Party make any Investment which results in or facilitates in any manner any Restricted Payment not otherwise permitted under the terms of Section 6.5.</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b w:val="1"/>
          <w:bCs w:val="1"/>
          <w:color w:val="auto"/>
        </w:rPr>
        <w:t>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period during which a Permitted Acquisition or an Asset Sale has occurred (each, a “</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xml:space="preserve">”), including for purposes of determining the Total Leverage Ratio, the First Lien Debt Ratio, the Secured Debt Ratio, Section 2.13(d), Section 6.9(d) and Consolidated Adjusted EBITDA (subject to the conditions and limitations set forth in clause (ix) of the definition thereof), as applicable, all financial ratios and other financial calculations pursuant to the Credit Documents shall be calculated with respect to such period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arising out of events which are directly attributable to a specific transaction, are factually supportable and are expected to have a continuing impact, in each case determined on a basis consistent with Article 11 of Regulation S-X promulgated under the Securities Act and as interpreted by the staff of the Securities and Exchange Commission, which would include cost savings resulting from head count reduction, closure of Facilities and similar restructuring charges, which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shall be certified by the chief financial officer of the Company) using the historical audited financial statements of any business so acquired or to be acquired or sold or to be sold and the consolidated financial statements of the Company and its Subsidiaries which shall be reformulated as if such Subject Transaction, and any Indebtedness incurred or repaid in connection therewith, had been consummated or incurred or repaid at the beginning of such period.</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Consolidated Adjusted EBITDA of the Company, subject to clause (a) above, Consolidated Adjusted EBITDA for (i) the fiscal quarter ended September 30, 2021 shall be deemed to be $16,494,762, (ii) the fiscal quarter ended June 30, 2021 shall be deemed to be $31,061,961, (iii) the fiscal quarter ended March 31, 2021 shall be deemed to be $24,368,479 and (iv) the fiscal quarter ended December 31, 2020 shall be deemed to be $11,963,203.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ind w:left="1900" w:hanging="596"/>
        <w:spacing w:after="0"/>
        <w:tabs>
          <w:tab w:leader="none" w:pos="1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period commencing prior to the Closing Date, Consolidated Interest Expense shall be calculated with respect to the portion of such period prior to the Closing Date on a pro forma basis as if the Closing Date occurred on the first day of such period (and assuming that the Indebtedness incurred on the Closing Date was incurred on the first day of such period and, such Indebtedness bears interest during the portion of such period prior to the Closing Date at the weighted average of the interest rates applicable to outstanding Indebtedness during the portion of such period on and after the Closing Date and that no Indebtedness was repaid during the portion of such period prior to the Closing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6.9 Fundamental Changes; Asset Dispositions; Acquisitions</w:t>
      </w:r>
      <w:r>
        <w:rPr>
          <w:rFonts w:ascii="Times New Roman" w:cs="Times New Roman" w:eastAsia="Times New Roman" w:hAnsi="Times New Roman"/>
          <w:sz w:val="18"/>
          <w:szCs w:val="18"/>
          <w:color w:val="auto"/>
        </w:rPr>
        <w:t>. The Company shall not, and shall not permit any of its Subsidiaries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enter into any transaction of merger, amalgamation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the business, or all or substantially all of the property or fixed assets of, or stock or other evidence of beneficial ownership of, any Person or any division or line of business or other business unit of any Person, except:</w:t>
      </w:r>
    </w:p>
    <w:p>
      <w:pPr>
        <w:spacing w:after="0" w:line="186" w:lineRule="exact"/>
        <w:rPr>
          <w:sz w:val="20"/>
          <w:szCs w:val="20"/>
          <w:color w:val="auto"/>
        </w:rPr>
      </w:pPr>
    </w:p>
    <w:p>
      <w:pPr>
        <w:jc w:val="both"/>
        <w:ind w:firstLine="1304"/>
        <w:spacing w:after="0" w:line="258"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Company may be merged with or into the Company or with or into any wholly-owned Guarantor Subsidiary of the Company, or be liquidated, wound up or dissolved, or all or any part of its business, property or assets may be conveyed, sold, leased, transferred or otherwise disposed of, in one transaction or a series of transactions, to the Company or any wholly-owned Guarantor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such a merger, the Company or such wholly-owned Guarantor Subsidiary of the Company, as applicable shall be the continuing or surviving Person;</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that do not constitute Asset Sales;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(1) the consideration received for such assets shall be in an amount at least equal to the fair market value thereof, (2) no less than 75% of the consideration thereof shall be paid in Cash and (3) the Net Asset Sale Proceeds thereof shall be applied as required by Section 2.13(a);</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accordance with Section 6.7; and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 permitted pursuant to Section 6.3.</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6.10 Disposal of Subsidiary Interests</w:t>
      </w:r>
      <w:r>
        <w:rPr>
          <w:rFonts w:ascii="Times New Roman" w:cs="Times New Roman" w:eastAsia="Times New Roman" w:hAnsi="Times New Roman"/>
          <w:sz w:val="18"/>
          <w:szCs w:val="18"/>
          <w:color w:val="auto"/>
        </w:rPr>
        <w:t>. The Company shall not, and shall not permit any of its Subsidiaries to (a) directly or indirectly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assign, pledge or otherwise encumber or dispose of any Capital Stock of any of its Subsidiaries, except to qualify directors if required by applicable law or (b) permit any of its Subsidiaries directly or indirectly to issue, sell, assign, pledge or otherwise encumber or dispose of any Capital Stock of any of its Subsidiaries, except (i) [reserved], (ii) Subsidiaries may issue Capital Stock to the Company or to a Guarantor Subsidiary of the Company (subject to the restrictions on such disposition otherwise imposed under Section 6.9) or to qualify directors if required by applicable law and (iii) the Company or any Subsidiary may sell or otherwise dispose of the Capital Stock of its Subsidiaries in an Asset Sale permitted by Section 6.9.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6.11 Fiscal Year</w:t>
      </w:r>
      <w:r>
        <w:rPr>
          <w:rFonts w:ascii="Times New Roman" w:cs="Times New Roman" w:eastAsia="Times New Roman" w:hAnsi="Times New Roman"/>
          <w:sz w:val="18"/>
          <w:szCs w:val="18"/>
          <w:color w:val="auto"/>
        </w:rPr>
        <w:t>. The Company shall not, and shall not permit any of its Subsidiaries to, change its Fiscal Year-end from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Fiscal Year-end of the Company and its Subsidiaries may be changed to the end of any Fiscal Quarter with the prior written consent of, and following receipt of any information requested by, Administrative Agent (including reconciliation statements for the immediately preceding three years described in Section 5.1(e)).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6.12 Transactions with Shareholders and Affiliates</w:t>
      </w:r>
      <w:r>
        <w:rPr>
          <w:rFonts w:ascii="Times New Roman" w:cs="Times New Roman" w:eastAsia="Times New Roman" w:hAnsi="Times New Roman"/>
          <w:sz w:val="18"/>
          <w:szCs w:val="18"/>
          <w:color w:val="auto"/>
        </w:rPr>
        <w:t>. The Company shall not, and shall not permit any of its Subsidiaries to,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enter into or permit to exist any transaction (including the purchase, sale, lease or exchange of any property or the rendering of any service or the making of any loan) with any holder of 10% or more of any class of Capital Stock of the Company or any of its Subsidiaries or with any Affiliate of the Company or of any such holder, on terms that are less favorable to the Company or that Subsidiary, as the case may be, than those that might be obtained at the time from a Person who is not such a holder or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restriction shall not apply to (a) any transaction expressly permitted under this Agreement; (b) reasonable and customary fees paid to, and customary indemnification of, members of the board of directors (or similar governing body) of the Company and its Subsidiaries; (c) compensation arrangements for officers and other employees of the Company and its Subsidiaries entered into in the ordinary course of business; (d) transactions described in Schedule 6.12; (e) any transaction between Credit Parties; and (f) any issuances of securities or other payments, awards or grants in cash, securities or otherwise pursuant to, or the funding of, employment agreements, stock options and stock ownership plans approved by a Credit Party’s board of directors.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6.13 Conduct of Business</w:t>
      </w:r>
      <w:r>
        <w:rPr>
          <w:rFonts w:ascii="Times New Roman" w:cs="Times New Roman" w:eastAsia="Times New Roman" w:hAnsi="Times New Roman"/>
          <w:sz w:val="18"/>
          <w:szCs w:val="18"/>
          <w:color w:val="auto"/>
        </w:rPr>
        <w:t>. From and after the Closing Date, the Company shall not, and shall not permit any of its Subsidiaries to, engage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business other than (i) the businesses engaged in by the Company and its Subsidiaries on the Closing Date and similar or related businesses and (ii) such other lines of business as may be consented to by Requisite Lenders.</w:t>
      </w:r>
    </w:p>
    <w:p>
      <w:pPr>
        <w:spacing w:after="0" w:line="171"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7"/>
          <w:szCs w:val="17"/>
          <w:b w:val="1"/>
          <w:bCs w:val="1"/>
          <w:color w:val="FF0000"/>
          <w:strike w:val="1"/>
        </w:rPr>
        <w:t xml:space="preserve">[Reserved] </w:t>
      </w:r>
      <w:r>
        <w:rPr>
          <w:rFonts w:ascii="Times New Roman" w:cs="Times New Roman" w:eastAsia="Times New Roman" w:hAnsi="Times New Roman"/>
          <w:sz w:val="17"/>
          <w:szCs w:val="17"/>
          <w:b w:val="1"/>
          <w:bCs w:val="1"/>
          <w:u w:val="single" w:color="auto"/>
          <w:color w:val="0000FF"/>
          <w:strike w:val="1"/>
        </w:rPr>
        <w:t>Minimum Liquidity</w:t>
      </w:r>
      <w:r>
        <w:rPr>
          <w:rFonts w:ascii="Times New Roman" w:cs="Times New Roman" w:eastAsia="Times New Roman" w:hAnsi="Times New Roman"/>
          <w:sz w:val="17"/>
          <w:szCs w:val="17"/>
          <w:u w:val="single" w:color="auto"/>
          <w:color w:val="0000FF"/>
          <w:strike w:val="1"/>
        </w:rPr>
        <w:t>. The Company shall not, at any time, permit Liquidity to be less than $1,000,000.</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6.15</w:t>
      </w:r>
      <w:r>
        <w:rPr>
          <w:sz w:val="20"/>
          <w:szCs w:val="20"/>
          <w:color w:val="auto"/>
        </w:rPr>
        <w:tab/>
      </w:r>
      <w:r>
        <w:rPr>
          <w:rFonts w:ascii="Times New Roman" w:cs="Times New Roman" w:eastAsia="Times New Roman" w:hAnsi="Times New Roman"/>
          <w:sz w:val="17"/>
          <w:szCs w:val="17"/>
          <w:b w:val="1"/>
          <w:bCs w:val="1"/>
          <w:color w:val="auto"/>
        </w:rPr>
        <w:t>Amendments or Waivers of Certain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9" w:name="page160"/>
    <w:bookmarkEnd w:id="159"/>
    <w:p>
      <w:pPr>
        <w:jc w:val="both"/>
        <w:ind w:firstLine="1304"/>
        <w:spacing w:after="0" w:line="252" w:lineRule="auto"/>
        <w:tabs>
          <w:tab w:leader="none" w:pos="20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its Subsidiaries to, terminate or agree to any amendment, restatement, supplement or other modification to, or waiver of, subject to the Intercreditor Agreement, any of its rights under any Revolving Credit Document or any Organizational Document, or make any payment consistent with an amendment thereof or change thereto (which amendment or other modification, in the case of (i) an Organizational Document or any Revolving Credit Document, is adverse in any material respect to the rights or interests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termination, amendment, restatement, supplement or other modification to, or waiver of any Revolving Credit Document, none of the following amendments shall be deemed adverse for purposes of this clause (i): (A) any waiver of any default or event of default or any other waiver or amendment permitting or increasing (or having the effect of permitting or increasing) borrowing availability under the Borrowing Base (without increasing the commitments under the Revolving Credit Facility), (B) payment of customary fees in connection with any waiver or amendment, or (C) any amendment implementing incremental or additional loans and/or commitments under the Revolving Credit Documents to the extent the Indebtedness in respect thereof is permitted under Section 6.1. The Company shall not, and shall not permit any of its Subsidiaries to, amend or otherwise change the terms of any Indebtedness permitted to be incurred under Section 6.1 which is subordinated to the Obligations, or make any payment consistent with an amendment thereof or change thereto, if the effect of such amendment or change is to increase the interest rate on or fees in respect of such Indebtedness, change (to earlier dates) any dates upon which payments of principal or interest are due thereon, change any event of default or condition to an event of default with respect thereto (other than to eliminate any such event of default or increase any grace period related thereto), change the redemption, prepayment or defeasance provisions thereof, change the subordination provisions thereof (or of any guaranty thereof), or change any collateral therefor (other than to release such collateral), or if the effect of such amendment or change, together with all other amendments or changes made, is to increase materially the obligations of the obligor thereunder or to confer any additional rights on the holders of such Indebtedness (or a trustee or other representative on their behalf) which would be adverse to the Company, any of its Subsidiaries, or Lenders. The Company shall not, and shall not permit any of its Subsidiaries to, agree to any amendment, restatement, supplement or other modification to, or waiver of, the terms of any agreement, instrument or other document evidencing Indebtedness secured by a Lien on any asset of such Person that is junior in priority to the Liens securing the Obligations that is adverse in any material respect to the rights or interests of the Lenders.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6.16 Limitation on Payments Relating to Other Debt</w:t>
      </w:r>
      <w:r>
        <w:rPr>
          <w:rFonts w:ascii="Times New Roman" w:cs="Times New Roman" w:eastAsia="Times New Roman" w:hAnsi="Times New Roman"/>
          <w:sz w:val="18"/>
          <w:szCs w:val="18"/>
          <w:color w:val="auto"/>
        </w:rPr>
        <w:t>. The Company shall not, and shall not permit any of its Subsidiaries through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or means or through any other Person to, directly or indirectly, declare, order, make or offer to make, any voluntary prepayment, repurchase or redemption of, or otherwise defease, any Indebtedness that is (a) contractually subordinated in right of payment to the Obligations or (b) secured by a Lien on any asset of such Person that is junior in priority to the Liens securing the Obligations (such Indebtedness, excluding for the avoidance of doubt, Indebtedness under the Revolving Credit Facility, “</w:t>
      </w:r>
      <w:r>
        <w:rPr>
          <w:rFonts w:ascii="Times New Roman" w:cs="Times New Roman" w:eastAsia="Times New Roman" w:hAnsi="Times New Roman"/>
          <w:sz w:val="18"/>
          <w:szCs w:val="18"/>
          <w:b w:val="1"/>
          <w:bCs w:val="1"/>
          <w:color w:val="auto"/>
        </w:rPr>
        <w:t>Other Debt</w:t>
      </w:r>
      <w:r>
        <w:rPr>
          <w:rFonts w:ascii="Times New Roman" w:cs="Times New Roman" w:eastAsia="Times New Roman" w:hAnsi="Times New Roman"/>
          <w:sz w:val="18"/>
          <w:szCs w:val="18"/>
          <w:color w:val="auto"/>
        </w:rPr>
        <w:t>”), or segregate funds for any such voluntary prepayment, repurchase, redemption or defeasance, or enter into any derivative or other transaction with any financial institution, commodities or stock exchange or clearinghouse (a “</w:t>
      </w: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obligating the Company or any Subsidiary to make payments to such Derivatives Counterparty as a result of any change in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Other Debt, other than (a) any prepayment, repurchase or redemption of Other Debt pursuant to a Permitted Refinancing thereof, (b) prepayments, repurchases or redemptions of Other Debt in an aggregate amount not to exceed the Available Amount; provided that no Default or Event of Default shall have occurred and be continuing or would result therefrom, (c) prepayments, repurchases or redemptions of Other Debt if, after giving effect thereto, the Total Leverage Ratio calculated on the date of incurrence thereof would be less than 2.50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or Event of Default shall have occurred and be continuing or would result therefrom and (d)(i) regularly scheduled payments of principal and interest in respect of any Indebtedness constituting Other Debt in the form of seller notes permitted under Section 6.1(k), but only to the extent such payments are permitted by the terms of, and subordination provisions (if any) applicable to, such seller notes and (ii) payments in respect of any Indebtedness constituting Other Debt in the form of earnouts permitted under Section 6.1(k)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no Default or Event of Default shall have occurred and be continuing or would result therefrom.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6.17 Use of Proceeds</w:t>
      </w:r>
      <w:r>
        <w:rPr>
          <w:rFonts w:ascii="Times New Roman" w:cs="Times New Roman" w:eastAsia="Times New Roman" w:hAnsi="Times New Roman"/>
          <w:sz w:val="18"/>
          <w:szCs w:val="18"/>
          <w:color w:val="auto"/>
        </w:rPr>
        <w:t>. The Borrower will not request any Loans, and the Borrower shall not use, and shall procure that its Subsidiaries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6.18 Compliance with Laws</w:t>
      </w:r>
      <w:r>
        <w:rPr>
          <w:rFonts w:ascii="Times New Roman" w:cs="Times New Roman" w:eastAsia="Times New Roman" w:hAnsi="Times New Roman"/>
          <w:sz w:val="18"/>
          <w:szCs w:val="18"/>
          <w:color w:val="auto"/>
        </w:rPr>
        <w:t>. No Credit Party, nor any of their Subsidiaries, sells products, inventory or services directly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marijuana/cannabis growers operating in any country that prohibits the sale and use of marijuana/cannabis products other than in accordance with the applicable laws of such country. For the avoidance of doubt, neither the Credit Parties nor any of the Subsidiaries, sells products, inventory or services directly to marijuana/cannabis growers in the United States.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6.19 Canadian Pension Plans</w:t>
      </w:r>
      <w:r>
        <w:rPr>
          <w:rFonts w:ascii="Times New Roman" w:cs="Times New Roman" w:eastAsia="Times New Roman" w:hAnsi="Times New Roman"/>
          <w:sz w:val="18"/>
          <w:szCs w:val="18"/>
          <w:color w:val="auto"/>
        </w:rPr>
        <w:t>. None of the Credit Parties shall, without the consent of the Administrative Agent, maintain,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 or have any liability in respect of any Canadian Defined Benefit Plan or acquire an interest in any Person if such Person sponsors, maintains, administers or contributes to, or has any liability in respect of any Canadian Defined Benefit Plan.</w:t>
      </w:r>
    </w:p>
    <w:p>
      <w:pPr>
        <w:spacing w:after="0" w:line="17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8"/>
          <w:szCs w:val="18"/>
          <w:b w:val="1"/>
          <w:bCs w:val="1"/>
          <w:color w:val="auto"/>
        </w:rPr>
        <w:t>GUARANTY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7.1 Guaranty of the Obligations</w:t>
      </w:r>
      <w:r>
        <w:rPr>
          <w:rFonts w:ascii="Times New Roman" w:cs="Times New Roman" w:eastAsia="Times New Roman" w:hAnsi="Times New Roman"/>
          <w:sz w:val="18"/>
          <w:szCs w:val="18"/>
          <w:color w:val="auto"/>
        </w:rPr>
        <w:t>. Subject to the provisions of Section 7.2, Guarantors jointly and severally hereby irrevocably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unconditionally guaranty to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1" w:name="page162"/>
    <w:bookmarkEnd w:id="161"/>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7.2 Contribution by Guarantors</w:t>
      </w:r>
      <w:r>
        <w:rPr>
          <w:rFonts w:ascii="Times New Roman" w:cs="Times New Roman" w:eastAsia="Times New Roman" w:hAnsi="Times New Roman"/>
          <w:sz w:val="18"/>
          <w:szCs w:val="18"/>
          <w:color w:val="auto"/>
        </w:rPr>
        <w:t>. All Guarantors desire to allocate among themselves (collectively, the “</w:t>
      </w:r>
      <w:r>
        <w:rPr>
          <w:rFonts w:ascii="Times New Roman" w:cs="Times New Roman" w:eastAsia="Times New Roman" w:hAnsi="Times New Roman"/>
          <w:sz w:val="18"/>
          <w:szCs w:val="18"/>
          <w:b w:val="1"/>
          <w:bCs w:val="1"/>
          <w:color w:val="auto"/>
        </w:rPr>
        <w:t>Contributing Guarantors</w:t>
      </w:r>
      <w:r>
        <w:rPr>
          <w:rFonts w:ascii="Times New Roman" w:cs="Times New Roman" w:eastAsia="Times New Roman" w:hAnsi="Times New Roman"/>
          <w:sz w:val="18"/>
          <w:szCs w:val="18"/>
          <w:color w:val="auto"/>
        </w:rPr>
        <w: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and equitable manner, their obligations arising under this Guaranty. Accordingly, in the event any payment or distribution is made on any date by a Guarantor (a “</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Times New Roman" w:cs="Times New Roman" w:eastAsia="Times New Roman" w:hAnsi="Times New Roman"/>
          <w:sz w:val="18"/>
          <w:szCs w:val="18"/>
          <w:b w:val="1"/>
          <w:bCs w:val="1"/>
          <w:color w:val="auto"/>
        </w:rPr>
        <w:t>Fair Share Contribution Amount</w:t>
      </w:r>
      <w:r>
        <w:rPr>
          <w:rFonts w:ascii="Times New Roman" w:cs="Times New Roman" w:eastAsia="Times New Roman" w:hAnsi="Times New Roman"/>
          <w:sz w:val="18"/>
          <w:szCs w:val="18"/>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solely for purposes of calculating the “</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Contribution Amount</w:t>
      </w:r>
      <w:r>
        <w:rPr>
          <w:rFonts w:ascii="Times New Roman" w:cs="Times New Roman" w:eastAsia="Times New Roman" w:hAnsi="Times New Roman"/>
          <w:sz w:val="18"/>
          <w:szCs w:val="18"/>
          <w:color w:val="auto"/>
        </w:rPr>
        <w:t>” with respect to any Contributing Guarantor for purposes of this Section 7.2, any assets or liabilities of such Contributing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Contributing Guarantor as of any date of determination, an amount equal to (1) the aggregate amount of all payments and distributions made on or before such date by such Contributing Guarantor in respect of this Guaranty (including in respect of this Section 7.2), minus (2) the aggregate amount of all payments received on or before such date by such Contributing Guarantor from the other Contributing Guarantors as contributions under this Section 7.2. The amounts payable as contributions hereunder shall be determined as of the date on which the related payment or distribution is made by the applicable Funding Guarantor. The allocation among Contributing Guarantors of their obligations as set forth in this Section 7.2 shall not be construed in any way to limit the liability of any Contributing Guarantor hereunder. Each Guarantor is a third party beneficiary to the contribution agreement set forth in this Section 7.2.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7.3 Payment by Guarantors</w:t>
      </w:r>
      <w:r>
        <w:rPr>
          <w:rFonts w:ascii="Times New Roman" w:cs="Times New Roman" w:eastAsia="Times New Roman" w:hAnsi="Times New Roman"/>
          <w:sz w:val="18"/>
          <w:szCs w:val="18"/>
          <w:color w:val="auto"/>
        </w:rPr>
        <w:t>. Subject to Section 7.2, Guarantors hereby jointly and severally agree, in furtherance of the foregoing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limitation of any other right which any Beneficiary may have at law or in equity against any Guarantor by virtue hereof, that upon the failure of the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the Company’s becoming the subject of a case under the Bankruptcy Code, would have accrued on such Guaranteed Obligations, whether or not a claim is allowed against the Company for such interest in the related bankruptcy case) and all other Guaranteed Obligations then owed to Beneficiaries as aforesaid.</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7.4 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2" w:name="page163"/>
    <w:bookmarkEnd w:id="162"/>
    <w:p>
      <w:pPr>
        <w:ind w:right="20" w:firstLine="1304"/>
        <w:spacing w:after="0" w:line="282" w:lineRule="auto"/>
        <w:tabs>
          <w:tab w:leader="none" w:pos="21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 This Guaranty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enforce this Guaranty upon the occurrence and during the continuance of an Event of Default notwithstanding the existence of any dispute between the Company and any Beneficiary with respect to the existence and continuance of such Event of Default;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the Company and the obligations of any other guarantor (including any other Guarantor) of the obligations of the Company, and a separate action or actions may be brought and prosecuted against such Guarantor whether or not any action is brought against the Company or any of such other guarantors and whether or not the Company is joined in any such action or actions;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the Company or any security for the Guaranteed Obligations; and (vi) exercise any other rights available to it under the Credit Documents; 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jc w:val="both"/>
        <w:ind w:firstLine="1304"/>
        <w:spacing w:after="0" w:line="252" w:lineRule="auto"/>
        <w:tabs>
          <w:tab w:leader="none" w:pos="21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an agreement or election not to assert or enforce, or the stay or enjoining, by order of court, by operation of law or otherwise, of the exercise or enforcement of, any claim or demand or any right, power or remedy (whether arising under the Credit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Credit Documents or any agreement or instrument executed pursuant thereto, or of any other guaranty or security for the Guaranteed Obligations, in each case whether or not in accordance with the terms hereof or such Credit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Credit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the Company or any of its Subsidiaries and to any corresponding restructuring of the Guaranteed Obligations; (vi) any failure to perfect or continue perfection of a security interest in any collateral which secures any of the Guaranteed Obligations; (vii) any defenses, set-offs or counterclaims which the Company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7.5 Waivers by Guarantors</w:t>
      </w:r>
      <w:r>
        <w:rPr>
          <w:rFonts w:ascii="Times New Roman" w:cs="Times New Roman" w:eastAsia="Times New Roman" w:hAnsi="Times New Roman"/>
          <w:sz w:val="18"/>
          <w:szCs w:val="18"/>
          <w:color w:val="auto"/>
        </w:rPr>
        <w:t>. Each Guarantor hereby waives, for the benefit of Beneficiaries: (a) any right to require any Beneficiary,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of payment or performance by such Guarantor, to (i) proceed against the Company, any other guarantor (including any other Guarantor) of the Guaranteed Obligations or any other Person, (ii) proceed against or exhaust any security held from the Company, any such other guarantor or any other Person, (iii) proceed against or have resort to any balance of any deposit account or credit on the books of any Beneficiary in favor of the Company or any other Person, or (iv) pursue any other remedy in the power of any Beneficiary whatsoever; (b) any defense arising by reason of the incapacity, lack of authority or any disability or other defense of the Company or any other Guarantor including any defense based on or arising out of the lack of validity or the unenforceability of the Guaranteed Obligations or any agreement or instrument relating thereto or by reason of the cessation of the liability of the Company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the Company and notices of any of the matters referred to in Section 7.4 and any right to consent to any thereof; and (g)any defenses or benefits that may be derived from or afforded by law which limit the liability of or exonerate guarantors or sureties, or which may conflict with the terms hereof.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7.6 Guarantors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of Subrogation, Contribution, etc</w:t>
      </w:r>
      <w:r>
        <w:rPr>
          <w:rFonts w:ascii="Times New Roman" w:cs="Times New Roman" w:eastAsia="Times New Roman" w:hAnsi="Times New Roman"/>
          <w:sz w:val="18"/>
          <w:szCs w:val="18"/>
          <w:color w:val="auto"/>
        </w:rPr>
        <w:t>. Until the Guaranteed Obligations shall have been indefeasibly paid in full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Loan Commitments and any Additional Term Loan Commitments shall have terminated, each Guarantor hereby waives and agrees not to assert any claim, right or remedy, direct or indirect, that such Guarantor now has or may hereafter have against the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the Company with respect to the Guaranteed Obligations, (b) any right to enforce, or to participate in, any claim, right or remedy that any Beneficiary now has or may hereafter have against the Company, and (c) any benefit of, and any right to participate in, any collateral or security now or hereafter held by any Beneficiary. In addition, until the Guaranteed Obligations shall have been indefeasibly paid in full and the Term Loan Commitments and any Additional Term Loan Commitments shall have terminated, each Guarantor shall withhold exercise of any right of contribution such Guarantor may have against any other guarantor (including any other Guarantor) of the Guaranteed Obligations, including any such right of contribution as contemplated by Section 7.2.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Company or against any collateral or security, and any rights of contribution such Guarantor may have against any such other guarantor, shall be junior and subordinate to any rights any Beneficiary may have against the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5" w:name="page166"/>
    <w:bookmarkEnd w:id="16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7.7 Subordination of Other Obligations</w:t>
      </w:r>
      <w:r>
        <w:rPr>
          <w:rFonts w:ascii="Times New Roman" w:cs="Times New Roman" w:eastAsia="Times New Roman" w:hAnsi="Times New Roman"/>
          <w:sz w:val="18"/>
          <w:szCs w:val="18"/>
          <w:color w:val="auto"/>
        </w:rPr>
        <w:t>. Any Indebtedness of the Company or any Guarantor now or hereafter held by any Guarantor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Administrative Agent on behalf of Beneficiaries and shall forthwith be paid over to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7.8 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paid in full and the Term Loan Commitments and any Additional Term Loan Commitments shall have terminated. Each Guarantor hereby irrevocably waives any right to revoke this Guaranty as to future transactions giving rise to any Guaranteed Obligations.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7.9 Authority of Guarantors or the Company</w:t>
      </w:r>
      <w:r>
        <w:rPr>
          <w:rFonts w:ascii="Times New Roman" w:cs="Times New Roman" w:eastAsia="Times New Roman" w:hAnsi="Times New Roman"/>
          <w:sz w:val="18"/>
          <w:szCs w:val="18"/>
          <w:color w:val="auto"/>
        </w:rPr>
        <w:t>. It is not necessary for any Beneficiary to inquire into the capacity or powers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or the Company or the officers, directors or any agents acting or purporting to act on behalf of any of them.</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7.10 Financial Condition of the Company</w:t>
      </w:r>
      <w:r>
        <w:rPr>
          <w:rFonts w:ascii="Times New Roman" w:cs="Times New Roman" w:eastAsia="Times New Roman" w:hAnsi="Times New Roman"/>
          <w:sz w:val="18"/>
          <w:szCs w:val="18"/>
          <w:color w:val="auto"/>
        </w:rPr>
        <w:t>. Any Credit Extension may be made to the Company or continued from time to time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or authorization from any Guarantor regardless of the financial or other condition of the Company at the time of any such grant or continuation, as the case may be. No Beneficiary shall have any obligation to disclose or discuss with any Guarantor its assessment, or any Guarantor’s assessment, of the financial condition of the Company. Each Guarantor has adequate means to obtain information from the Company on a continuing basis concerning the financial condition of the Company and its ability to perform its obligations under the Credit Documents, and each Guarantor assumes the responsibility for being and keeping informed of the financial condition of the Company and of all circumstances bearing upon the risk of nonpayment of the Guaranteed Obligations. Each Guarantor hereby waives and relinquishes any duty on the part of any Beneficiary to disclose any matter, fact or thing relating to the business, operations or conditions of the Company now known or hereafter known by any Beneficiary.</w:t>
      </w:r>
    </w:p>
    <w:p>
      <w:pPr>
        <w:spacing w:after="0" w:line="18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8"/>
          <w:szCs w:val="18"/>
          <w:b w:val="1"/>
          <w:bCs w:val="1"/>
          <w:color w:val="auto"/>
        </w:rPr>
        <w:t>Bankruptcy,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22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Guaranteed Obligations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the Company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the Company or any other Guarantor or by any defense which the Company or any other Guarantor may have by reason of the order, decree or decision of any court or administrative body resulting from any such proceeding.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jc w:val="both"/>
        <w:ind w:firstLine="1304"/>
        <w:spacing w:after="0" w:line="254" w:lineRule="auto"/>
        <w:tabs>
          <w:tab w:leader="none" w:pos="194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the Company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the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7.12 Discharge of Guaranty Upon Sale of Guarantor</w:t>
      </w:r>
      <w:r>
        <w:rPr>
          <w:rFonts w:ascii="Times New Roman" w:cs="Times New Roman" w:eastAsia="Times New Roman" w:hAnsi="Times New Roman"/>
          <w:sz w:val="18"/>
          <w:szCs w:val="18"/>
          <w:color w:val="auto"/>
        </w:rPr>
        <w:t>. If all of the Capital Stock of any Guarantor or any of its successors in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be sold or otherwise disposed of (including by merger, amalgamation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If any one or more of the following conditions or events shall occur:</w:t>
      </w:r>
    </w:p>
    <w:p>
      <w:pPr>
        <w:spacing w:after="0" w:line="229" w:lineRule="exact"/>
        <w:rPr>
          <w:sz w:val="20"/>
          <w:szCs w:val="20"/>
          <w:color w:val="auto"/>
        </w:rPr>
      </w:pPr>
    </w:p>
    <w:p>
      <w:pPr>
        <w:jc w:val="both"/>
        <w:ind w:firstLine="1304"/>
        <w:spacing w:after="0" w:line="266" w:lineRule="auto"/>
        <w:tabs>
          <w:tab w:leader="none" w:pos="19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Failure by the Company to pay (i) when due any principal of any Loan, whether at stated maturity, by acceleration, by notice of voluntary prepayment, by mandatory prepayment or otherwise or (ii) any interest on any Loan or any fee or any other amount due hereunder within five days after the date due;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firstLine="1304"/>
        <w:spacing w:after="0" w:line="253" w:lineRule="auto"/>
        <w:tabs>
          <w:tab w:leader="none" w:pos="19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(i) Failure of any Credit Party or any of their respective Subsidiaries to pay when due any principal of or interest on or any other amount payable in respect of one or more items of Indebtedness (other than Indebtedness referred to in Section 8.1(a)) in an aggregate principal amount of $10,000,000 or more, in each case beyond the grace period, if any, provided therefor; or (ii) breach or default by any Credit Party with respect to any other term (other than Section 6.13 of the Revolving Credit Facility) of (1) one or more items of such Indebtedness or (2) any loan agreement, mortgage, indenture or other agreement relating to such item(s) of Indebtedness, or any other event or circumstance shall occur, in each case beyond the grace period, if any, provided therefor, if the effect of such breach or default or event or circumstance is to cause, or to permit the holder or holders of that Indebtedness (or a trustee on behalf of such holder or holders), to cause, that Indebtedness to become or be declared due and payable (or redeemable) prior to its stated maturity or the stated maturity of any underlying obligation, as the case may be, or to require an offer to purchase or redeem such Indebtedness be made (other than any due on sale provision with respect to any Indebtedness permitted to be repaid hereunder and which is so repaid in full); or</w:t>
      </w:r>
    </w:p>
    <w:p>
      <w:pPr>
        <w:spacing w:after="0" w:line="194" w:lineRule="exact"/>
        <w:rPr>
          <w:rFonts w:ascii="Times New Roman" w:cs="Times New Roman" w:eastAsia="Times New Roman" w:hAnsi="Times New Roman"/>
          <w:sz w:val="18"/>
          <w:szCs w:val="18"/>
          <w:color w:val="auto"/>
        </w:rPr>
      </w:pPr>
    </w:p>
    <w:p>
      <w:pPr>
        <w:ind w:right="20" w:firstLine="1304"/>
        <w:spacing w:after="0" w:line="282" w:lineRule="auto"/>
        <w:tabs>
          <w:tab w:leader="none" w:pos="19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Failure of any Credit Party to perform or comply with any term or condition contained in Sections 2.5, 2.14, 5.1(f), 5.1(g), 5.2(i), 5.14 or 6;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Any representation, warranty or certification made or deemed made by any Credit Party in any Credit Document or in any statement or certificate at any time given by any Credit Party or any of its Subsidiaries in writing pursuant hereto or thereto or in connection herewith or therewith shall be false in any material respect as of the date made or deemed made;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Credit Documents</w:t>
      </w:r>
      <w:r>
        <w:rPr>
          <w:rFonts w:ascii="Times New Roman" w:cs="Times New Roman" w:eastAsia="Times New Roman" w:hAnsi="Times New Roman"/>
          <w:sz w:val="18"/>
          <w:szCs w:val="18"/>
          <w:color w:val="auto"/>
        </w:rPr>
        <w:t>. Any Credit Party shall default in the performance of or compliance with any term contained herein or any of the other Credit Documents, other than any such term referred to in any other Section of this Section 8.1, and such default shall not have been remedied or waived within 30 days after the earlier of (i) an officer of such Credit Party becoming aware of such default or (ii) receipt by the Company of notice from Administrative Agent or any Lender of such default;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(i) A court of competent jurisdiction shall enter a decree or order for relief in respect of the Company or any of its Subsidiaries in an involuntary case under any Debtor Relief Law, which decree or order is not stayed; or any other similar relief shall be granted under any applicable federal, state, provincial or territorial law; or (ii) an involuntary case shall be commenced against the Company or any of its Subsidiaries under any Debtor Relief Law; or a decree or order of a court having jurisdiction in the premises for the appointment of a receiver, interim receiver, receiver and manager, monitor, liquidator, sequestrator, trustee, custodian or other officer having similar powers over the Company or any of its Subsidiaries, or over all or a substantial part of its property, shall have been entered; or there shall have occurred the involuntary appointment of an interim receiver, receiver and manager, monitor, trustee or other custodian of the Company or any of its Subsidiaries for all or a substantial part of its property; or a warrant of attachment, execution or similar process shall have been issued against any substantial part of the property of the Company or any of its Subsidiaries, and any such event described in this clause (ii) shall continue for 60 days without having been dismissed, bonded or discharged;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jc w:val="both"/>
        <w:ind w:firstLine="1304"/>
        <w:spacing w:after="0" w:line="254" w:lineRule="auto"/>
        <w:tabs>
          <w:tab w:leader="none" w:pos="19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(i) The Company or any of its Subsidiaries shall have an order for relief entered with respect to it or shall commence a voluntary case or file any plan of arrangement, proposal or proceeding, or make an assignment into bankruptcy, under any Debtor Relief Law, or shall consent to the entry of an order for relief in an involuntary case, or to the conversion of an involuntary case to a voluntary case, under any such law, or shall consent to the appointment of or taking possession by a receiver, interim receiver, receiver and manager, monitor, trustee or other custodian for all or a substantial part of its property; or the Company or any of its Subsidiaries shall make any assignment for the benefit of creditors; or (ii) the Company or any of its Subsidiaries shall be unable, or shall fail generally, or shall admit in writing its inability, to pay its debts as such debts become due; or the board of directors (or similar governing body) of the Company or any of its Subsidiaries (or any committee thereof) shall adopt any resolution or otherwise authorize any action to approve any of the actions referred to in this Section 8.1(g) or in Section 8.1(f) above; or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Any money judgment, writ or warrant of attachment or similar process involving in the aggregate at any time an amount in excess of $10,000,000 (to the extent not adequately covered by insurance as to which a solvent and unaffiliated insurance company has acknowledged coverage) shall be entered or filed against the Company or any of its Subsidiaries or any of their respective assets and shall remain undischarged, unvacated, unbonded or unstayed for a period of 60 days (or in any event later than five days prior to the date of any proposed sale thereunder); or</w:t>
      </w:r>
    </w:p>
    <w:p>
      <w:pPr>
        <w:spacing w:after="0" w:line="183"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Any order, judgment or decree shall be entered against any Credit Party decreeing the dissolution or split up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or</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(i) There shall occur one or more ERISA Events, (ii) there shall exists any fact or circumstance that results or reasonably could be expected to result in the imposition of a Lien or security interest with respect to any Employee Benefit Plan under Section 430(k) of the Internal Revenue Code or under Sections 303(k) or 4068 of ERISA, in either case involving or that might reasonably be expected to involve in the aggregate at any time an amount in excess of $10,000,000 or (iii) a Canadian Pension Event shall have occurred or any Lien arises (save for contribution amounts not yet due) in connection with any Canadian Pension Plan; or</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Credit Documents</w:t>
      </w:r>
      <w:r>
        <w:rPr>
          <w:rFonts w:ascii="Times New Roman" w:cs="Times New Roman" w:eastAsia="Times New Roman" w:hAnsi="Times New Roman"/>
          <w:sz w:val="18"/>
          <w:szCs w:val="18"/>
          <w:color w:val="auto"/>
        </w:rPr>
        <w:t>. At any time after the execution and delivery thereof, (i) the Guaranty for any reason, other than the satisfaction in full of all Obligations or upon the release of such Guaranty with respect to a Subsidiary of the Company in connection with an Asset Sale permitted hereby,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in accordance with the terms hereof) or shall be declared null and void, or Collateral Agent shall not have or shall cease to have a valid and perfected Lien in any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ind w:firstLine="1304"/>
        <w:spacing w:after="0" w:line="282" w:lineRule="auto"/>
        <w:tabs>
          <w:tab w:leader="none" w:pos="197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Convictions, Etc</w:t>
      </w:r>
      <w:r>
        <w:rPr>
          <w:rFonts w:ascii="Times New Roman" w:cs="Times New Roman" w:eastAsia="Times New Roman" w:hAnsi="Times New Roman"/>
          <w:sz w:val="18"/>
          <w:szCs w:val="18"/>
          <w:color w:val="auto"/>
        </w:rPr>
        <w:t>. Any Credit Party is criminally indicted or convicted under any law that may reasonably be expected to lead to a forfeiture of any property of such Credit Party having a fair market value in excess of $500,000;</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THEN</w:t>
      </w:r>
      <w:r>
        <w:rPr>
          <w:rFonts w:ascii="Times New Roman" w:cs="Times New Roman" w:eastAsia="Times New Roman" w:hAnsi="Times New Roman"/>
          <w:sz w:val="18"/>
          <w:szCs w:val="18"/>
          <w:color w:val="auto"/>
        </w:rPr>
        <w:t>, (1) upon the occurrence of any Event of Default described in Section 8.1(f) or 8.1(g), automatically, and (2) 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any other Event of Default, upon notice to the Company by Administrative Agent (which notice may be given by the Administrative Agent in its discretion and shall be given by Administrative Agent upon the request of the Requisite Lenders), (A) the Term Loan Commitments, if any, of each Lender having such Term Loan Commitments shall immediately terminate (and the Additional Term Loan Commitments, if any, of each Lender having such Additional Term Loan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cause Collateral Agent to enforce any and all Liens and security interests created pursuant to Collateral Documents.</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AGENTS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of the Lenders hereby irrevocably appoints </w:t>
      </w:r>
      <w:r>
        <w:rPr>
          <w:rFonts w:ascii="Times New Roman" w:cs="Times New Roman" w:eastAsia="Times New Roman" w:hAnsi="Times New Roman"/>
          <w:sz w:val="18"/>
          <w:szCs w:val="18"/>
          <w:color w:val="FF0000"/>
          <w:strike w:val="1"/>
        </w:rPr>
        <w:t>JPMorgan Chase 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auto"/>
        </w:rPr>
        <w:t xml:space="preserve"> as Administrative Agent hereunder and authorizes the Administrative Agent to take such actions on its behalf and to exercise such powers as are delegated to the Administrative Agent by the terms hereof, together with such actions and powers as are reasonably incidental thereto. Each of the Lenders hereby irrevocably appoints </w:t>
      </w:r>
      <w:r>
        <w:rPr>
          <w:rFonts w:ascii="Times New Roman" w:cs="Times New Roman" w:eastAsia="Times New Roman" w:hAnsi="Times New Roman"/>
          <w:sz w:val="18"/>
          <w:szCs w:val="18"/>
          <w:color w:val="FF0000"/>
          <w:strike w:val="1"/>
        </w:rPr>
        <w:t>JPMorgan 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Bank, N.A.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Collateral Agent hereunder and authorizes the Collateral Agent to take such actions on its behalf and to exercise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powers as are delegated to the Collateral Agent by the terms hereof, together with such actions and powers as are reasonably incidental thereto. Each of the Lenders hereby authorizes the Collateral Agent to enter into each of the Collateral Documents and authorizes both the Administrative Agent and Collateral Agent to enter into the Intercreditor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bank serving as the Administrative Agent or the Collateral Agent hereunder shall have the same rights and powers in its capacity as a Lender as any other Lender and may exercise the same as though it were not the Administrative Agent or the Collateral Agent, and such bank and its Affiliates may accept deposits from, lend money to and generally engage in any kind of business with the Borrower or any Subsidiary or other Affiliate thereof as if it were not the Administrative Agent or the Collateral Agent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0" w:name="page171"/>
    <w:bookmarkEnd w:id="1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Neither the Administrative Agent nor the Collateral Agent shall have any duties or obligations except those expressly set forth herein. Without limiting the generality of the foregoing, (a) neither the Administrative Agent nor the Collateral Agent shall be subject to any fiduciary or other implied duties, regardless of whether a Default or Event of Default has occurred and is continuing, (b) neither the Administrative Agent nor the Collateral Agent shall have any duty to take any discretionary action or exercise any discretionary powers, except discretionary rights and powers expressly contemplated hereby that the Administrative Agent or the Collateral Agent, as applicable is required to exercise in writing as directed by the Requisite Lenders (or such other number or percentage of the Lenders as shall be necessary under the circumstances as provided in Section 10.5), and (c) except as expressly set forth herein, neither the Administrative Agent nor the Collateral Agent shall have any duty to disclose, and shall not be liable for the failure to disclose, any information relating to the Borrower or any of its Subsidiaries that is communicated to or obtained by the bank serving as Administrative Agent, Collateral Agent or any of their respective Affiliates in any capacity. Neither the Administrative Agent nor the Collateral Agent shall be liable for any action taken or not taken by it with the consent or at the request of the Requisite Lenders (or such other number or percentage of the Lenders as shall be necessary under the circumstances as provided in Section 10.5) or in the absence of its own gross negligence or willful misconduct. Neither the Administrative Agent nor the Collateral Agent shall be deemed to have knowledge of any (x) notice of any of the events or circumstances set forth or described in Section 5.01 unless and until written notice thereof stating that it is a “notice under Section 5.01” in respect of this Agreement and identifying the specific clause under said Section is given to the Administrative Agent by the Borrower, or (y) notice of any Default or Event of Default unless and until written notice thereof (stating that it is a “notice of Default” or “notice of Event of Default”) is given to the Administrative Agent or the Collateral Agent, as applicable by the Borrower or a Lender. Further, neither the Administrative Agent nor the Collateral Agent shall be responsible for or have any duty to ascertain or inquire into (i) any statement, warranty or representation made in or in connection with this Agreement or any other Credit Document, (ii) the contents of any certificate, report or other document delivered hereunder or in connection herewith, (iii) the performance or observance of any of the covenants, agreements or other terms or conditions set forth herein or the occurrence of any Default or Event of Default, (iv) the validity, enforceability, effectiveness or genuineness of this Agreement or other Credit Document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(v) the creation, perfection or priority of Liens on the Collateral or the existence of the Collateral, or (vi) the satisfaction of any condition set forth in Section 3 or elsewhere herein or in any other Credit Document, other than to confirm receipt of items expressly required to be delivered to the Administrative Agent or the Collateral Agent, as applicable.</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Administrative Agent and the Collateral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and the Collateral Agent also may rely upon any statement made to it orally or by telephone and believed by it to be made by the proper Person, and shall not incur any liability for relying thereon.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Administrative Agent and the Collateral Agent may perform any and all its respective duties and exercise its respective rights and powers by or through any one or more sub-agents appointed by the Administrative Agent or the Collateral Agent, as applicable. The Administrative Agent, the Collateral Agent and any such sub-agent may perform any and all its respective duties and exercise its respective rights and powers through their respective Related Parties. The exculpatory provisions of the preceding paragraphs shall apply to any such sub-agent and to the Related Parties of the Administrative Agent, the Collateral Agent and any such sub-agent, and shall apply to their respective activities in connection with the syndication of the credit facilities provided for herein as well as activities as Administrative Agent and Collateral Agent,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1" w:name="page172"/>
    <w:bookmarkEnd w:id="17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appointment and acceptance of a successor Administrative Agent or Collateral Agent, as applicable as provided in this paragraph, the Administrative Agent and the Collateral Agent may resign at any time by notifying the Lenders and the Borrower. Upon any such resignation, the Requisite Lenders shall have the right, in consultation with the Borrower, to appoint a successor. If no successor shall have been so appointed by the Requisite Lenders and shall have accepted such appointment within 30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which shall be a bank with an office in New York, New York, or an Affiliate of any such bank. Upon the acceptance of its appointment as Administrative Agent or Collateral Agent, as applicable hereunder by a successor, such successor shall succeed to and become vested with all the rights, powers, privileges and duties of the retiring Administrative Agent or Collateral Agent, as applicable, and the retiring Administrative Agent or Collateral Agent, as applicable shall be discharged from its duties and obligations hereunder. The fees payable by the Borrower to a successor Administrative Agent or Collateral Agent, as applicable shall be the same as those payable to its predecessor unless otherwise agreed between the Borrower and such successor. After the Administrative Agent’s or the Collateral Agent’s resignation hereunder, the provisions of this Article and Section 10.3 shall continue in effect for the benefit of such retiring Administrative Agent or Collateral Agent, as applicable, its sub agents and their respective Related Parties in respect of any actions taken or omitted to be taken by any of them while it was acting as Administrative Agent or Collateral Agent, as applicable.</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Lender acknowledges that it has, independently and without reliance upon the Administrative Agent, the Collateral Agent or any other Lender and based on such documents and information as it has deemed appropriate, made its own credit analysis and decision to enter into this Agreement. Each Lender also acknowledges that it will, independently and without reliance upon the Administrative Agent, the Collateral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Lender hereby further authorizes Administrative Agent or Collateral Agent, as applicable, on behalf of and for the benefit of Lenders, to be the agent for and representative of Lenders with respect to the Guaranty, the Collateral and the Collateral Documents. Subject to Section 10.5, without further written consent or authorization from Lenders, Administrative Agent or Collateral Agent, as applicable may execute any documents or instruments necessary to (i) release any Lien encumbering any item of Collateral that is the subject of a sale or other disposition of assets permitted hereby or to which Requisite Lenders (or such other Lenders as may be required to give such consent under Section 10.5) have otherwise consented or (ii) release any Guarantor from the Guaranty pursuant to Section 7.12 or with respect to which Requisite Lenders (or such other Lenders as may be required to give such consent under Section 10.5) have otherwise consented.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Anything contained in any of the Credit Documents to the contrary notwithstanding, the Company, Administrative Agent, Collateral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Collateral Agent, and (ii) in the event of a foreclosure by Collateral Agent on any of the Collateral pursuant to a public or private sale, Collateral Agent or any Lender may be the purchaser of any or all of such Collateral at any such sale and Collateral Agent, as agent for and representative of Secured Parties (but not any Lender or Lenders in its or their respective individual capacities unless Requisite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Collateral Agent at such sale.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the powers of the Administrative Agent, for the purposes of holding any hypothec granted to the Attorney (as defined below) pursuant to the laws of the Province of Québec to secure the prompt payment and performance of any and all Obligations by any Credit Party, each of the Secured Parties hereby irrevocably appoints and authorizes the Administrative Agent and, to the extent necessary, ratifies the appointment and authorization of the Administrative Agent, to act as the hypothecary representative of the creditors as contemplated under Article 2692 of the Civil Code of Québec (in such capacity, the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and to enter into, to take and to hold on their behalf, and for their benefit, any hypothec, and to exercise such powers and duties that are conferred upon the Attorney under any related deed of hypothec. The Attorney shall: (a) have the sole and exclusive right and authority to exercise, except as may be otherwise specifically restricted by the terms hereof, all rights and remedies given to the Attorney pursuant to any such deed of hypothec and applicable law, and (b) benefit from and be subject to all provisions hereof with respect to the Administrative Agent mutatis mutandis, including, without limitation, all such provisions with respect to the liability or responsibility to and indemnification by the Secured Parties and Credit Parties. Any person who becomes a Secured Party shall, by its execution of an Assignment and Assumption Agreement, be deemed to have consented to and confirmed the Attorney as the person acting as hypothecary representative holding the aforesaid hypothecs as aforesaid and to have ratified, as of the date it becomes a Secured Party, all actions taken by the Attorney in such capacity. The substitution of the Administrative Agent pursuant to the provisions of this Section 9 shall also constitute the substitution of the Attorney.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Any such notice of the Administrative Agent to any Lender shall be conclusive, absent manifest error.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and each other Credit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Credit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party’s obligations under the preceding three paragraphs shall survive the resignation or replacement of the Administrative Agent or any transfer of rights or obligations by, or the replacement of, a Lender, the termination of the Commitments or the repayment, satisfaction or discharge of all Obligations under any Credit Document.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76" w:lineRule="exact"/>
        <w:rPr>
          <w:sz w:val="20"/>
          <w:szCs w:val="20"/>
          <w:color w:val="auto"/>
        </w:rPr>
      </w:pPr>
    </w:p>
    <w:p>
      <w:pPr>
        <w:jc w:val="both"/>
        <w:ind w:left="660" w:firstLine="1292"/>
        <w:spacing w:after="0" w:line="266" w:lineRule="auto"/>
        <w:tabs>
          <w:tab w:leader="none" w:pos="2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jc w:val="both"/>
        <w:ind w:left="660" w:firstLine="1292"/>
        <w:spacing w:after="0" w:line="256" w:lineRule="auto"/>
        <w:tabs>
          <w:tab w:leader="none" w:pos="26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6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unless either (1) sub-clause (i) in the immediately preceding paragraph is true with respect to a Lender or (2) a Lender has provided another representation, warranty and covenant in accordance with sub-clause (iv)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spacing w:after="0" w:line="188"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(and subject to paragraph</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all notices and other communications provided for herein shall be in writing and shall be delivered by hand or overnight courier service, mailed by certified or registered mail or sent by telecopy,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5" w:name="page176"/>
    <w:bookmarkEnd w:id="175"/>
    <w:p>
      <w:pPr>
        <w:ind w:left="2500" w:hanging="568"/>
        <w:spacing w:after="0"/>
        <w:tabs>
          <w:tab w:leader="none" w:pos="25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or any other Credit Party, to it at Hydrofarm Holdings Group, Inc. at the following address:</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2249 South McDowell Boulevard Ext.</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Petaluma, California 94954</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John Lindeman</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jlindeman@hydrofarm.com</w:t>
      </w:r>
    </w:p>
    <w:p>
      <w:pPr>
        <w:spacing w:after="0" w:line="207" w:lineRule="exact"/>
        <w:rPr>
          <w:sz w:val="20"/>
          <w:szCs w:val="20"/>
          <w:color w:val="auto"/>
        </w:rPr>
      </w:pPr>
    </w:p>
    <w:p>
      <w:pPr>
        <w:ind w:left="2740" w:hanging="808"/>
        <w:spacing w:after="0"/>
        <w:tabs>
          <w:tab w:leader="none" w:pos="2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Administrative Agent or the Collateral Agent, to </w:t>
      </w:r>
      <w:r>
        <w:rPr>
          <w:rFonts w:ascii="Times New Roman" w:cs="Times New Roman" w:eastAsia="Times New Roman" w:hAnsi="Times New Roman"/>
          <w:sz w:val="18"/>
          <w:szCs w:val="18"/>
          <w:color w:val="FF0000"/>
          <w:strike w:val="1"/>
        </w:rPr>
        <w:t>JPMorgan Chase 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auto"/>
        </w:rPr>
        <w:t xml:space="preserve"> at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address:</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3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2"/>
                <w:szCs w:val="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Sam Stasio</w:t>
            </w:r>
          </w:p>
        </w:tc>
        <w:tc>
          <w:tcPr>
            <w:tcW w:w="43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Michelle Handy</w:t>
            </w:r>
          </w:p>
        </w:tc>
        <w:tc>
          <w:tcPr>
            <w:tcW w:w="0" w:type="dxa"/>
            <w:vAlign w:val="bottom"/>
          </w:tcPr>
          <w:p>
            <w:pPr>
              <w:spacing w:after="0" w:line="20" w:lineRule="exact"/>
              <w:rPr>
                <w:sz w:val="1"/>
                <w:szCs w:val="1"/>
                <w:color w:val="auto"/>
              </w:rPr>
            </w:pPr>
          </w:p>
        </w:tc>
      </w:tr>
      <w:tr>
        <w:trPr>
          <w:trHeight w:val="174"/>
        </w:trPr>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3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vMerge w:val="continue"/>
          </w:tcPr>
          <w:p>
            <w:pPr>
              <w:spacing w:after="0"/>
              <w:rPr>
                <w:sz w:val="13"/>
                <w:szCs w:val="13"/>
                <w:color w:val="auto"/>
              </w:rPr>
            </w:pPr>
          </w:p>
        </w:tc>
        <w:tc>
          <w:tcPr>
            <w:tcW w:w="2120" w:type="dxa"/>
            <w:vAlign w:val="bottom"/>
            <w:gridSpan w:val="6"/>
          </w:tcPr>
          <w:p>
            <w:pPr>
              <w:ind w:left="100"/>
              <w:spacing w:after="0" w:line="156" w:lineRule="exact"/>
              <w:rPr>
                <w:sz w:val="20"/>
                <w:szCs w:val="20"/>
                <w:color w:val="auto"/>
              </w:rPr>
            </w:pPr>
            <w:r>
              <w:rPr>
                <w:rFonts w:ascii="Times New Roman" w:cs="Times New Roman" w:eastAsia="Times New Roman" w:hAnsi="Times New Roman"/>
                <w:sz w:val="18"/>
                <w:szCs w:val="18"/>
                <w:color w:val="FF0000"/>
                <w:strike w:val="1"/>
                <w:w w:val="99"/>
              </w:rPr>
              <w:t>Client Processing Specialist</w:t>
            </w:r>
          </w:p>
        </w:tc>
        <w:tc>
          <w:tcPr>
            <w:tcW w:w="40" w:type="dxa"/>
            <w:vAlign w:val="bottom"/>
          </w:tcPr>
          <w:p>
            <w:pPr>
              <w:spacing w:after="0"/>
              <w:rPr>
                <w:sz w:val="13"/>
                <w:szCs w:val="13"/>
                <w:color w:val="auto"/>
              </w:rPr>
            </w:pPr>
          </w:p>
        </w:tc>
        <w:tc>
          <w:tcPr>
            <w:tcW w:w="318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Senior Managing Director</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Address:</w:t>
            </w:r>
          </w:p>
        </w:tc>
        <w:tc>
          <w:tcPr>
            <w:tcW w:w="40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176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Stanton Christiana Road,</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9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130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Street, Suite 1250</w:t>
            </w:r>
          </w:p>
        </w:tc>
        <w:tc>
          <w:tcPr>
            <w:tcW w:w="0" w:type="dxa"/>
            <w:vAlign w:val="bottom"/>
          </w:tcPr>
          <w:p>
            <w:pPr>
              <w:spacing w:after="0" w:line="20" w:lineRule="exact"/>
              <w:rPr>
                <w:sz w:val="1"/>
                <w:szCs w:val="1"/>
                <w:color w:val="auto"/>
              </w:rPr>
            </w:pPr>
          </w:p>
        </w:tc>
      </w:tr>
      <w:tr>
        <w:trPr>
          <w:trHeight w:val="156"/>
        </w:trPr>
        <w:tc>
          <w:tcPr>
            <w:tcW w:w="8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760" w:type="dxa"/>
            <w:vAlign w:val="bottom"/>
            <w:gridSpan w:val="5"/>
            <w:vMerge w:val="continue"/>
          </w:tcPr>
          <w:p>
            <w:pPr>
              <w:spacing w:after="0"/>
              <w:rPr>
                <w:sz w:val="13"/>
                <w:szCs w:val="13"/>
                <w:color w:val="auto"/>
              </w:rPr>
            </w:pPr>
          </w:p>
        </w:tc>
        <w:tc>
          <w:tcPr>
            <w:tcW w:w="122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FF0000"/>
                <w:strike w:val="1"/>
              </w:rPr>
              <w:t>NCC5, Floor 1</w:t>
            </w:r>
          </w:p>
        </w:tc>
        <w:tc>
          <w:tcPr>
            <w:tcW w:w="6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Boylston</w:t>
            </w:r>
          </w:p>
        </w:tc>
        <w:tc>
          <w:tcPr>
            <w:tcW w:w="13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Telephone:</w:t>
            </w:r>
          </w:p>
        </w:tc>
        <w:tc>
          <w:tcPr>
            <w:tcW w:w="100" w:type="dxa"/>
            <w:vAlign w:val="bottom"/>
          </w:tcPr>
          <w:p>
            <w:pPr>
              <w:spacing w:after="0"/>
              <w:rPr>
                <w:sz w:val="13"/>
                <w:szCs w:val="13"/>
                <w:color w:val="auto"/>
              </w:rPr>
            </w:pPr>
          </w:p>
        </w:tc>
        <w:tc>
          <w:tcPr>
            <w:tcW w:w="188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color w:val="FF0000"/>
                <w:strike w:val="1"/>
              </w:rPr>
              <w:t>Newark, DE 19713-2107</w:t>
            </w:r>
          </w:p>
        </w:tc>
        <w:tc>
          <w:tcPr>
            <w:tcW w:w="336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Boston, MA 02116</w:t>
            </w:r>
            <w:r>
              <w:rPr>
                <w:rFonts w:ascii="Times New Roman" w:cs="Times New Roman" w:eastAsia="Times New Roman" w:hAnsi="Times New Roman"/>
                <w:sz w:val="18"/>
                <w:szCs w:val="18"/>
                <w:color w:val="000000"/>
              </w:rPr>
              <w:t>, United States</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gridSpan w:val="2"/>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9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FF0000"/>
                <w:strike w:val="1"/>
              </w:rPr>
              <w:t>+13025520161</w:t>
            </w:r>
          </w:p>
        </w:tc>
        <w:tc>
          <w:tcPr>
            <w:tcW w:w="112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w w:val="98"/>
              </w:rPr>
              <w:t>+617-848-2577</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20" w:type="dxa"/>
            <w:vAlign w:val="bottom"/>
            <w:tcBorders>
              <w:bottom w:val="single" w:sz="8" w:color="0000FF"/>
            </w:tcBorders>
            <w:gridSpan w:val="3"/>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Facsimile</w:t>
            </w:r>
          </w:p>
        </w:tc>
        <w:tc>
          <w:tcPr>
            <w:tcW w:w="23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FF0000"/>
                <w:strike w:val="1"/>
              </w:rPr>
              <w:t>12012443657@tls.ldsprod.com</w:t>
            </w:r>
          </w:p>
        </w:tc>
        <w:tc>
          <w:tcPr>
            <w:tcW w:w="2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40"/>
        <w:spacing w:after="0"/>
        <w:tabs>
          <w:tab w:leader="none" w:pos="3300" w:val="left"/>
        </w:tabs>
        <w:rPr>
          <w:sz w:val="20"/>
          <w:szCs w:val="20"/>
          <w:color w:val="auto"/>
        </w:rPr>
      </w:pPr>
      <w:r>
        <w:rPr>
          <w:rFonts w:ascii="Times New Roman" w:cs="Times New Roman" w:eastAsia="Times New Roman" w:hAnsi="Times New Roman"/>
          <w:sz w:val="18"/>
          <w:szCs w:val="18"/>
          <w:color w:val="auto"/>
        </w:rPr>
        <w:t>E-mail address:</w:t>
      </w:r>
      <w:r>
        <w:rPr>
          <w:sz w:val="20"/>
          <w:szCs w:val="20"/>
          <w:color w:val="auto"/>
        </w:rPr>
        <w:tab/>
      </w:r>
      <w:r>
        <w:rPr>
          <w:rFonts w:ascii="Times New Roman" w:cs="Times New Roman" w:eastAsia="Times New Roman" w:hAnsi="Times New Roman"/>
          <w:sz w:val="18"/>
          <w:szCs w:val="18"/>
          <w:color w:val="FF0000"/>
          <w:strike w:val="1"/>
        </w:rPr>
        <w:t xml:space="preserve">samuel.stasio@jpmchase </w:t>
      </w:r>
      <w:r>
        <w:rPr>
          <w:rFonts w:ascii="Times New Roman" w:cs="Times New Roman" w:eastAsia="Times New Roman" w:hAnsi="Times New Roman"/>
          <w:sz w:val="18"/>
          <w:szCs w:val="18"/>
          <w:u w:val="single" w:color="auto"/>
          <w:color w:val="0000FF"/>
          <w:strike w:val="1"/>
        </w:rPr>
        <w:t>michelle.handy@firsteagle.com</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With a copy to (which shall not constitute notice):</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Winston &amp; Strawn LLP</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300 N. LaSalle Drive, Suite 4500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Chicago, IL 60654</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Attention: Gregory Gartland</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Email: ggartland@winston.com</w:t>
      </w:r>
    </w:p>
    <w:p>
      <w:pPr>
        <w:spacing w:after="0" w:line="207" w:lineRule="exact"/>
        <w:rPr>
          <w:sz w:val="20"/>
          <w:szCs w:val="20"/>
          <w:color w:val="auto"/>
        </w:rPr>
      </w:pPr>
    </w:p>
    <w:p>
      <w:pPr>
        <w:ind w:left="2600" w:hanging="668"/>
        <w:spacing w:after="0"/>
        <w:tabs>
          <w:tab w:leader="none" w:pos="26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209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The Administrative Agent, the Collateral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76" w:name="page177"/>
    <w:bookmarkEnd w:id="176"/>
    <w:p>
      <w:pPr>
        <w:jc w:val="both"/>
        <w:ind w:right="20" w:firstLine="1304"/>
        <w:spacing w:after="0" w:line="266" w:lineRule="auto"/>
        <w:tabs>
          <w:tab w:leader="none" w:pos="19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and warrants that each of it and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 5.01(b) and (c), along with the Credit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and its Subsidiaries have no outstanding publicly traded securities, including 144A securities.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FURNISHED TO IT PURSUANT TO THIS AGREEMENT MAY INCLUDE MATERIAL NON-PUBLIC INFORMATION CONCERNING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BORROWER, THE ADMINISTRATIVE AGENT OR THE COLLATERAL AGENT PURSUANT TO, OR IN THE COURSE OF ADMINISTERING, THIS AGREEMENT WILL BE SYNDICATE-LEVEL INFORMATION, WHICH MAY CONTAIN MATERIAL NON-PUBLIC INFORMATION ABOUT THE CREDIT PARTIES AND THEIR RELATED PARTIES OR THEIR RESPECTIVE SECURITIES. ACCORDINGLY, EACH LENDER REPRESENTS TO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Expenses; Limitation of Liability; Indemnity,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2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pay (i) all reasonable out of pocket expenses incurred by the Administrative Agent, the Collateral Agent, the Arranger and their respective Affiliates, including the reasonable fees, charges and disbursements of counsel for the Administrative Agent and the Collateral Agent, in connection with the syndication of the credit facilities provided for herein, the preparation and administration of this Agreement and the other Credit Documents or any amendments, modifications or waivers of the provisions hereof or thereof (whether or not the transactions contemplated hereby or thereby shall be consummated) and (ii) all out-of-pocket expenses incurred by the Administrative Agent, the Collateral Agent or any Lender, including the fees, charges and disbursements of any counsel for the Administrative Agent, the Collateral Agent or any Lender, in connection with the enforcement or protection of its rights in connection with this Agreement and the other Credit Documents, including its rights under this Section, or in connection with the Loans made hereunder, including all such out-of-pocket expenses incurred during any workout, restructuring or negotiations in respect of such Loans.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jc w:val="both"/>
        <w:ind w:firstLine="1304"/>
        <w:spacing w:after="0" w:line="253" w:lineRule="auto"/>
        <w:tabs>
          <w:tab w:leader="none" w:pos="19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the Borrower and any Credit Party shall not assert, and the Borrower and each Credit Party hereby waives, any claim against the Administrative Agent, any Arranger, any Syndication Agent and any Lender, and any Related Party of any of the foregoing Persons (each such Person being called a “</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for any Liabilities arising from the use by others of information or other materials (including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any Loan or the use of the proceeds thereof; provided that, nothing in this Section 10.3(b) shall relieve the Borrower and each Credit Party of any obligation it may have to indemnify an Indemnitee, as provided in Section 10.3(c), against any special, indirect, consequential or punitive damages asserted against such Indemnitee by a third party.</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shall indemnify the Administrative Agent, the Collateral Agent, each Arranger, each Syndication Agent and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Credit Document, or any agreement or instrument contemplated hereby or thereby, the performance by the parties hereto of their respective obligations hereunder or thereunder or the consummation of the Transactions or any other transactions contemplated hereby, (ii) any Loan or the use of the proceeds therefrom, (iii) any actual or alleged presence or release of Hazardous Materials at, under, on or from any property owned. leased or operated by the Borrower or any of its Subsidiaries, or any Environmental Claim or liability under or relating to any Environmental Law related in any way to the Borrower or any of its Subsidiaries, or (iv) any actual or prospective Proceeding relating to any of the foregoing, whether or not such Proceeding is brought by the Borrower or any other Credit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or its directors, officers or employees. This Section 10.3(c) shall not apply with respect to Taxes other than any Taxes that represent losses, claims or damages arising from any non-Tax claim.</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jc w:val="both"/>
        <w:ind w:firstLine="1304"/>
        <w:spacing w:after="0" w:line="252" w:lineRule="auto"/>
        <w:tabs>
          <w:tab w:leader="none" w:pos="19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the Borrower under paragraphs (a), (b) or (c) of this Section 10.3 to the Administrative Agent and each Related Party thereof (each, an “</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Pro Rata Share in effect on the date on which such payment is sought under this Section (or, if such payment is sought after the date upon which the Loans shall have been paid in full, ratably in accordance with such Pro Rata Share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Credit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97"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10.3 shall be payable promptly after written demand therefor.</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10.4 Set-Off</w:t>
      </w:r>
      <w:r>
        <w:rPr>
          <w:rFonts w:ascii="Times New Roman" w:cs="Times New Roman" w:eastAsia="Times New Roman" w:hAnsi="Times New Roman"/>
          <w:sz w:val="18"/>
          <w:szCs w:val="18"/>
          <w:color w:val="auto"/>
        </w:rPr>
        <w:t>. In addition to any rights now or hereafter granted under applicable law and not by way of limitation of any such rights,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and during the continuance of any Event of Default each Agent, each Lender and each of their respective Affiliates is hereby authorized by each Credit Party at any time or from time to time,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such Agent, Lender or Affiliate to or for the credit or the account of any Credit Party against and on account of the obligations and liabilities of any Credit Party to such Agent, Lender or Affiliate hereunder, and under the other Credit Documents, including all claims of any nature or description arising out of or connected hereto, or with any other Credit Document, irrespective of whether or not (a) such Lender shall have made any demand hereunder or (b) the principal of or the interest on the Loans or any other amounts due hereunder shall have become due and payable pursuant to Section 2 and although such obligations and liabilities, or any of them, may be contingent or unmatured.</w:t>
      </w:r>
    </w:p>
    <w:p>
      <w:pPr>
        <w:spacing w:after="0" w:line="18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b w:val="1"/>
          <w:bCs w:val="1"/>
          <w:color w:val="auto"/>
        </w:rPr>
        <w:t>Amendments and Waivers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195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Requisite Lenders’ Consent</w:t>
      </w:r>
      <w:r>
        <w:rPr>
          <w:rFonts w:ascii="Times New Roman" w:cs="Times New Roman" w:eastAsia="Times New Roman" w:hAnsi="Times New Roman"/>
          <w:sz w:val="18"/>
          <w:szCs w:val="18"/>
          <w:color w:val="auto"/>
        </w:rPr>
        <w:t>. Subject to Section 10.5(b), 10.5(c) and 10.5(d) and except as otherwise expressly contemplated by Section 2.17(a)(ii), Section 2.17(a)(iv) and 2.23 hereof, or by the Intercreditor Agreement, no amendment, modification, termination or waiver of any provision of the Credit Documents, or consent to any departure by any Credit Party therefrom, shall in any event be effective without the written concurrence of the Requisite Lenders.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ind w:firstLine="1304"/>
        <w:spacing w:after="0" w:line="282" w:lineRule="auto"/>
        <w:tabs>
          <w:tab w:leader="none" w:pos="21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Lenders’ Consent</w:t>
      </w:r>
      <w:r>
        <w:rPr>
          <w:rFonts w:ascii="Times New Roman" w:cs="Times New Roman" w:eastAsia="Times New Roman" w:hAnsi="Times New Roman"/>
          <w:sz w:val="18"/>
          <w:szCs w:val="18"/>
          <w:color w:val="auto"/>
        </w:rPr>
        <w:t>. Without the written consent of the Requisite Lenders and each Lender that would be affected thereby, no amendment, modification, termination, or consent shall be effective if the effect thereof would:</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scheduled final maturity of any Loan or Note;</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scheduled repayment (but not prepayment);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6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on any Loan (other than any waiver of any increase in the interest rate applicable to any Loan pursuant to Section 2.9) or any fee payable hereunder;</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any such interest or fees;</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7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provision of this Section 10.5(b), Section 10.5(a), Section 10.5(c) or Section 2.15(c) hereof or Section 2.15(g);</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“Requisite Lenders” or “Pro Rata Share”;</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9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or all or substantially all of the Guarantors from the Guaranty except as expressly provided in the Credit Documents;</w:t>
      </w:r>
    </w:p>
    <w:p>
      <w:pPr>
        <w:spacing w:after="0" w:line="161"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Credit Party of any of its rights and obligations under any Credit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or</w:t>
      </w:r>
    </w:p>
    <w:p>
      <w:pPr>
        <w:spacing w:after="0" w:line="206"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 “Interest Period” so as to permit intervals in excess of six (6) months.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In addition to the consent of the Requisite Lenders, no amendment, modification, termination or waiver of any provision of the Credit Documents, or consent to any departure by any Credit Party therefrom, shall:</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any Term Loan Commitment or Additional Term Loan Commitment of any Lender over the amount thereof then in effect without the consent of such Lender; provided, no amendment, modification or waiver of any condition precedent, covenant, Default or Event of Default shall constitute an increase in any Term Loan Commitment or Additional Term Loan Commitment of any Lender; or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1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provision of Section 9 as the same applies to any Agent, or any other provision hereof as the same applies to the rights or obligations of any Agent, in each case without the consent of such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jc w:val="both"/>
        <w:ind w:firstLine="1304"/>
        <w:spacing w:after="0" w:line="258" w:lineRule="auto"/>
        <w:tabs>
          <w:tab w:leader="none" w:pos="19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Amendments, etc</w:t>
      </w:r>
      <w:r>
        <w:rPr>
          <w:rFonts w:ascii="Times New Roman" w:cs="Times New Roman" w:eastAsia="Times New Roman" w:hAnsi="Times New Roman"/>
          <w:sz w:val="18"/>
          <w:szCs w:val="18"/>
          <w:color w:val="auto"/>
        </w:rPr>
        <w:t>. Administrative Agent may, but shall have no obligation to, with the concurrence of any Lender, execute amendments, modifications, waivers or consents on behalf of such Lender. Any waiver or consent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termination, waiver or consent effected in accordance with this Section 10.5 shall be binding upon each Lender at the time outstanding, each future Lender and, if signed by a Credit Party, on such Credit Party.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Corrections</w:t>
      </w:r>
      <w:r>
        <w:rPr>
          <w:rFonts w:ascii="Times New Roman" w:cs="Times New Roman" w:eastAsia="Times New Roman" w:hAnsi="Times New Roman"/>
          <w:sz w:val="18"/>
          <w:szCs w:val="18"/>
          <w:color w:val="auto"/>
        </w:rPr>
        <w:t>. Notwithstanding anything to the contrary contained herein, the Administrative Agent, with the consent of the Borrower, may amend, modify or supplement any Credit Document without the consent of any Lender or the Requisite Lenders in order to correct, amend or cure any ambiguity, inconsistency or defect or correct any typographical error or other manifest error in any Credit Document.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Notwithstanding anything to the contrary contained herein, this Agreement may be amended with the written consent of the Administrative Agent, the Borrower and the Lenders providing the relevant Replacement Term Loans (as defined below) to permit the refinancing, replacement or modification of all outstanding Loans (“</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with a replacement term loan tranche hereunder (“</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such Replacement Term Loans shall not exceed the aggregate principal amount of such Replaced Term Loans, (b) the Applicable Margin for such Replacement Term Loans shall not be higher than the Applicable Margin for such Replaced Term Loans and (c) the weighted average life to maturity of such Replacement Term Loans shall not be shorter than the weighted average life to maturity of such Replaced Term Loans at the time of such refinancing.</w:t>
      </w:r>
    </w:p>
    <w:p>
      <w:pPr>
        <w:spacing w:after="0" w:line="18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Successors and Assigns; Participations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1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(i) no Credit Party may assign or otherwise transfer any of its rights or obligations hereunder or other any other Credit Document without the prior written consent of each Lender (and any attempted assignment or transfer by any Credit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the Collateral Agent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have the right at any time to sell, assign or transfer all or a portion of its rights and obligations under this Agreement, including all or a portion of its Commitment or Loans owing to it or other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such assignment shall be of a uniform, and not varying, percentage of all rights and obligations under and in respect of any Loan and any related Commitments):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left="-460" w:firstLine="1292"/>
        <w:spacing w:after="0" w:line="268" w:lineRule="auto"/>
        <w:tabs>
          <w:tab w:leader="none" w:pos="146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meeting the criteria of clause (i) of the definition of the term of “Eligible Assignee” (a “</w:t>
      </w:r>
      <w:r>
        <w:rPr>
          <w:rFonts w:ascii="Times New Roman" w:cs="Times New Roman" w:eastAsia="Times New Roman" w:hAnsi="Times New Roman"/>
          <w:sz w:val="18"/>
          <w:szCs w:val="18"/>
          <w:b w:val="1"/>
          <w:bCs w:val="1"/>
          <w:color w:val="auto"/>
        </w:rPr>
        <w:t>Related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upon the giving of notice to the Borrower and Administrative Agent and, for any assignment of a Term Loan Commitment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 Loan Commitment, the consent of Administrative Agent (such consent not to be unreasonably withheld or delayed); and</w:t>
      </w:r>
    </w:p>
    <w:p>
      <w:pPr>
        <w:spacing w:after="0" w:line="174"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48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meeting the criteria of clause (ii) of the definition of the term of “Eligible Assignee” (other than a Person described in the foregoing subclause (i)) and (except in the case of assignments made by or to </w:t>
      </w:r>
      <w:r>
        <w:rPr>
          <w:rFonts w:ascii="Times New Roman" w:cs="Times New Roman" w:eastAsia="Times New Roman" w:hAnsi="Times New Roman"/>
          <w:sz w:val="18"/>
          <w:szCs w:val="18"/>
          <w:color w:val="FF0000"/>
          <w:strike w:val="1"/>
        </w:rPr>
        <w:t>JPMorgan Chase 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FEAC Agent, LLC</w:t>
      </w:r>
      <w:r>
        <w:rPr>
          <w:rFonts w:ascii="Times New Roman" w:cs="Times New Roman" w:eastAsia="Times New Roman" w:hAnsi="Times New Roman"/>
          <w:sz w:val="18"/>
          <w:szCs w:val="18"/>
          <w:color w:val="auto"/>
        </w:rPr>
        <w:t xml:space="preserve">) consented to by the Borrower and Administrative Agent (such consent not to be (x) unreasonably withheld or delayed or, (y) in the case of the Borrower, not required at any time during syndication of the Loans to persons identified by the Administrative Agent to the Borrower on or prior to the Closing Date or at any time an Event of Default under Section 8.1(a), 8.1(f) or 8.1(g) shall have occurred and then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proposed assignment unless the Borrower shall object within five Business Days after having received notice of the proposed assignment); and</w:t>
      </w:r>
    </w:p>
    <w:p>
      <w:pPr>
        <w:spacing w:after="0" w:line="188" w:lineRule="exact"/>
        <w:rPr>
          <w:rFonts w:ascii="Times New Roman" w:cs="Times New Roman" w:eastAsia="Times New Roman" w:hAnsi="Times New Roman"/>
          <w:sz w:val="18"/>
          <w:szCs w:val="18"/>
          <w:color w:val="auto"/>
        </w:rPr>
      </w:pPr>
    </w:p>
    <w:p>
      <w:pPr>
        <w:ind w:left="780" w:hanging="596"/>
        <w:spacing w:after="0"/>
        <w:tabs>
          <w:tab w:leader="none" w:pos="7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9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any Related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83" w:lineRule="exact"/>
        <w:rPr>
          <w:rFonts w:ascii="Times New Roman" w:cs="Times New Roman" w:eastAsia="Times New Roman" w:hAnsi="Times New Roman"/>
          <w:sz w:val="18"/>
          <w:szCs w:val="18"/>
          <w:color w:val="auto"/>
        </w:rPr>
      </w:pPr>
    </w:p>
    <w:p>
      <w:pPr>
        <w:ind w:left="-460" w:firstLine="1292"/>
        <w:spacing w:after="0" w:line="282" w:lineRule="auto"/>
        <w:tabs>
          <w:tab w:leader="none" w:pos="151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57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8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Credit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82" w:name="page183"/>
    <w:bookmarkEnd w:id="182"/>
    <w:p>
      <w:pPr>
        <w:jc w:val="both"/>
        <w:ind w:firstLine="1304"/>
        <w:spacing w:after="0" w:line="254" w:lineRule="auto"/>
        <w:tabs>
          <w:tab w:leader="none" w:pos="19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2.17, 2.18, 2.19 and 10.3).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(g) of this Section.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2.1, 2.4(b), 2.15(d), 10.3(d) or 10.4,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jc w:val="both"/>
        <w:ind w:firstLine="1304"/>
        <w:spacing w:after="0" w:line="251" w:lineRule="auto"/>
        <w:tabs>
          <w:tab w:leader="none" w:pos="197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or the Administrative Agent, sell participations to one or more banks or other entities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Collateral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Section 10.5(b) that affects such Participant. The Borrower agrees that each Participant shall be entitled to the benefits of Sections 2.17, 2.18 and 2.19 (subject to the requirements and limitations therein, including the requirements under Section 2.19(f) (it being understood that the documentation required under Section 2.19(f) shall be delivered to the participating Lender)) to the same extent as if it were a Lender and had acquired its interest by assignment pursuant to paragraph (b) of this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2.15(c), 2.20, 2.22 and 10.4 as if it were an assignee under paragraph (b) of this Section; and (B) shall not be entitled to receive any greater payment under Sections 2.18 or 2.19,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10.4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10.4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(a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its Participant Register to any Person (including the identity of any Participant or any information relating to a Participant’s interest in any Commitments, Loans or its other obligations under any Credit Document) except to the extent that such disclosure is necessary to establish that such Commitment, Loan or other obligation is in registered form under Section 5f.103-1(c) of the United States Treasury regulations. The entries in each Participant Register shall be conclusive absent manifest error, and the relevant Lender shall treat each person whose name is recorded in its Participant Register as the owner of such participation for all purposes of this Agreement notwithstanding any notice to the contrary.</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Party Provisions</w:t>
      </w:r>
      <w:r>
        <w:rPr>
          <w:rFonts w:ascii="Times New Roman" w:cs="Times New Roman" w:eastAsia="Times New Roman" w:hAnsi="Times New Roman"/>
          <w:sz w:val="18"/>
          <w:szCs w:val="18"/>
          <w:color w:val="auto"/>
        </w:rPr>
        <w:t>. Notwithstanding Section 10.6(b) and Section 10.6(c), (x) so long as no Default or Event of Default has occurred and is continuing, any Credit Party may, from time to time, purchase or prepay Loans (a “</w:t>
      </w:r>
      <w:r>
        <w:rPr>
          <w:rFonts w:ascii="Times New Roman" w:cs="Times New Roman" w:eastAsia="Times New Roman" w:hAnsi="Times New Roman"/>
          <w:sz w:val="18"/>
          <w:szCs w:val="18"/>
          <w:b w:val="1"/>
          <w:bCs w:val="1"/>
          <w:color w:val="auto"/>
        </w:rPr>
        <w:t>Credit Party Purchase</w:t>
      </w:r>
      <w:r>
        <w:rPr>
          <w:rFonts w:ascii="Times New Roman" w:cs="Times New Roman" w:eastAsia="Times New Roman" w:hAnsi="Times New Roman"/>
          <w:sz w:val="18"/>
          <w:szCs w:val="18"/>
          <w:color w:val="auto"/>
        </w:rPr>
        <w:t xml:space="preserve">”), in each case, on a non-pro rata basis through Dutch auction procedures open to all applicable Lenders on a pro rata basis in accordance with customary procedures to be agreed between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ind w:left="660" w:right="20" w:firstLine="1292"/>
        <w:spacing w:after="0" w:line="282" w:lineRule="auto"/>
        <w:tabs>
          <w:tab w:leader="none" w:pos="26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acquired by any Credit Party shall automatically and without any further action on the part of any Person be retired and cancelled immediately upon the acquisition thereof;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jc w:val="both"/>
        <w:ind w:left="660" w:firstLine="1292"/>
        <w:spacing w:after="0" w:line="261" w:lineRule="auto"/>
        <w:tabs>
          <w:tab w:leader="none" w:pos="27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Credit Party Purchase (A) no Default or Event of Default has occurred and is continuing, (B) [reserved], (C) [reserved], (D) no Credit Party has any MNPI or any Borrower Restricted Information and (E) the Borrower on the date such Credit Party Purchase is made, shall deliver to the Administrative Agent a certificate of an Authorized Officer of the Borrower stating that each of the conditions to such Credit Party Purchase contained in this clause (2) has been satisfied or waived.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10.7 Independence of Covenants</w:t>
      </w:r>
      <w:r>
        <w:rPr>
          <w:rFonts w:ascii="Times New Roman" w:cs="Times New Roman" w:eastAsia="Times New Roman" w:hAnsi="Times New Roman"/>
          <w:sz w:val="18"/>
          <w:szCs w:val="18"/>
          <w:color w:val="auto"/>
        </w:rPr>
        <w:t>. All covenants hereunder shall be given independent effect so that if a particular action or condition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10.8 Survival of Representations, Warranties and Agreements</w:t>
      </w:r>
      <w:r>
        <w:rPr>
          <w:rFonts w:ascii="Times New Roman" w:cs="Times New Roman" w:eastAsia="Times New Roman" w:hAnsi="Times New Roman"/>
          <w:sz w:val="18"/>
          <w:szCs w:val="18"/>
          <w:color w:val="auto"/>
        </w:rPr>
        <w:t>. All representations, warranties and agreements made herein shall survive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and delivery hereof and the making of any Credit Extension. Notwithstanding anything herein or implied by law to the contrary, the agreements of each Credit Party set forth in Sections 2.17(c), 2.18, 2.19, 10.3 and 10.4 and the agreements of Lenders set forth in Sections 2.17 and Section 9 shall survive the payment of the Loans and the termination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10.9 No Waiver; Remedies Cumulative</w:t>
      </w:r>
      <w:r>
        <w:rPr>
          <w:rFonts w:ascii="Times New Roman" w:cs="Times New Roman" w:eastAsia="Times New Roman" w:hAnsi="Times New Roman"/>
          <w:sz w:val="18"/>
          <w:szCs w:val="18"/>
          <w:color w:val="auto"/>
        </w:rPr>
        <w:t>. No failure or delay on the part of Arranger, any Agent or any Lender in the exercise of any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Arranger, each Agent and each Lender hereby are cumulative and shall be in addition to and independent of all rights, powers and remedies existing by virtue of any statute or rule of law or in any of the other Credit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10.10 Marshalling; Payments Set Aside</w:t>
      </w:r>
      <w:r>
        <w:rPr>
          <w:rFonts w:ascii="Times New Roman" w:cs="Times New Roman" w:eastAsia="Times New Roman" w:hAnsi="Times New Roman"/>
          <w:sz w:val="18"/>
          <w:szCs w:val="18"/>
          <w:color w:val="auto"/>
        </w:rPr>
        <w:t>. Neither any Agent nor any Lender shall be under any obligation to marshal any assets in favor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Credit Party or any other Person or against or in payment of any or all of the Obligations. To the extent that any Credit Party makes a payment or payments to Administrative Agent, the Collateral Agent or Lenders (or to Administrative Agent or the Collateral Agent, on behalf of Lenders), or Administrative Agent, the Collateral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Debtor Relief Law, any other state, provincial, territorial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10.11 Severability</w:t>
      </w:r>
      <w:r>
        <w:rPr>
          <w:rFonts w:ascii="Times New Roman" w:cs="Times New Roman" w:eastAsia="Times New Roman" w:hAnsi="Times New Roman"/>
          <w:sz w:val="18"/>
          <w:szCs w:val="18"/>
          <w:color w:val="auto"/>
        </w:rPr>
        <w:t>. In case any provision in or obligation hereunder or any Note shall be invalid, illegal or unenforceable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or obligations, or of such provision or obligation in any other jurisdiction, shall not in any way be affected or impaired thereby.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10.12 Obligations Several; Independent Nature of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w:t>
      </w:r>
      <w:r>
        <w:rPr>
          <w:rFonts w:ascii="Times New Roman" w:cs="Times New Roman" w:eastAsia="Times New Roman" w:hAnsi="Times New Roman"/>
          <w:sz w:val="18"/>
          <w:szCs w:val="18"/>
          <w:color w:val="auto"/>
        </w:rPr>
        <w:t>. The obligations of Lenders hereunder are several and no Lender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responsible for the obligations or Commitment of any other Lender hereunder. Nothing contained herein or in any other Credit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10.13 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purpose or be given any substantive effect.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10.14 Applicable Law</w:t>
      </w:r>
      <w:r>
        <w:rPr>
          <w:rFonts w:ascii="Times New Roman" w:cs="Times New Roman" w:eastAsia="Times New Roman" w:hAnsi="Times New Roman"/>
          <w:sz w:val="18"/>
          <w:szCs w:val="18"/>
          <w:color w:val="auto"/>
        </w:rPr>
        <w:t>. THIS AGREEMENT AND THE RIGHTS AND OBLIGATIONS OF THE PARTIES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SHALL BE CONSTRUED AND ENFORCED IN ACCORDANCE WITH, THE LAWS OF THE STATE OF NEW YORK WITHOUT REGARD TO CONFLICT OF LAWS PRINCIPLES THEREOF THAT WOULD RESULT IN THE APPLICATION OF THE LAWS OF ANOTHER JURISDICTION.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10.15 Consent to Jurisdiction</w:t>
      </w:r>
      <w:r>
        <w:rPr>
          <w:rFonts w:ascii="Times New Roman" w:cs="Times New Roman" w:eastAsia="Times New Roman" w:hAnsi="Times New Roman"/>
          <w:sz w:val="18"/>
          <w:szCs w:val="18"/>
          <w:color w:val="auto"/>
        </w:rPr>
        <w:t>. BY EXECUTING AND DELIVERING THIS AGREEMENT, EACH CREDIT PARTY, FOR ITSELF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ITS PROPERTIES, IRREVOCABLY (a) SUBMITS FOR ITSELF AND ITS PROPERTY IN ANY LEGAL ACTION OR PROCEEDING RELATING TO THIS AGREEMENT AND THE OTHER CREDIT DOCUMENTS TO WHICH IT IS A PARTY, OR FOR RECOGNITION AND ENFORCEMENT OF ANY JUDGMENT IN RESPECT THEREOF, TO THE EXCLUSIVE JURISDICTION OF THE UNITED STATES DISTRICT COURT FOR THE SOUTHERN DISTRICT OF NEW YORK SITTING IN THE BOROUGH OF MANHATTAN (OR IF SUCH COURT LACKS SUBJECT MATTER JURISDICTION, THE SUPREME COURT OF THE STATE OF NEW YORK SITTING THE BOROUGH OF MANHATTAN), AND ANY APPELLATE COURT FROM ANY THEREOF; PROVIDED, THAT NOTHING CONTAINED HEREIN OR IN ANY OTHER CREDIT DOCUMENT WILL PREVENT ANY LENDER, THE COLLATERAL AGENT OR THE ADMINISTRATIVE AGENT FROM BRINGING ANY ACTION TO ENFORCE ANY AWARD OR JUDGMENT OR EXERCISE ANY RIGHT UNDER THE COLLATERAL DOCUMENTS OR AGAINST ANY COLLATERAL OR ANY OTHER PROPERTY OF ANY CREDIT PARTY IN ANY OTHER FORUM IN WHICH JURISDICTION CAN BE ESTABLISHED; (b)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(c) AGREES THAT SERVICE OF ALL PROCESS IN ANY SUCH PROCEEDING IN ANY SUCH COURT MAY BE MADE BY REGISTERED OR CERTIFIED MAIL, RETURN RECEIPT REQUESTED, TO THE APPLICABLE CREDIT PARTY AT ITS ADDRESS PROVIDED IN ACCORDANCE WITH SECTION 10.1; (d) AGREES THAT SERVICE AS PROVIDED IN CLAUSE (c)</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ABOVE IS SUFFICIENT TO CONFER PERSONAL JURISDICTION OVER THE APPLICABLE CREDIT PARTY IN ANY SUCH PROCEEDING IN ANY SUCH COURT, AND OTHERWISE CONSTITUTES EFFECTIVE AND BINDING SERVICE IN EVERY RESPECT; (e) AGREES AGENTS AND LENDERS RETAIN THE RIGHT TO SERVE PROCESS IN ANY OTHER MANNER PERMITTED BY LAW OR TO BRING PROCEEDINGS AGAINST ANY CREDIT PARTY IN THE COURTS OF ANY OTHER JURISDICTION AND (f) WAIVES, TO THE MAXIMUM EXTENT NOT PROHIBITED BY LAW, ANY RIGHT IT MAY HAVE TO CLAIM OR RECOVER IN ANY LEGAL ACTION OR PROCEEDING REFERRED TO IN THIS SECTION ANY INDIRECT, SPECIAL, EXEMPLARY, PUNITIVE OR CONSEQUENTIAL DAMAGES ARISING OUT OF, IN CONNECTION WITH, OR AS A RESULT OF, THIS AGREEMENT OR ANY AGREEMENT OR INSTRUMENT CONTEMPLATED HEREBY, ANY LOAN OR THE USE OF THE PROCEEDS THEREOF.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6" w:name="page187"/>
    <w:bookmarkEnd w:id="186"/>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10.16 Waiver of Jury Trial</w:t>
      </w:r>
      <w:r>
        <w:rPr>
          <w:rFonts w:ascii="Times New Roman" w:cs="Times New Roman" w:eastAsia="Times New Roman" w:hAnsi="Times New Roman"/>
          <w:sz w:val="17"/>
          <w:szCs w:val="17"/>
          <w:color w:val="auto"/>
        </w:rPr>
        <w:t>. EACH OF THE PARTIES HERETO HEREBY AGREES TO WAIVE ITS RESPECTIVE RIGHTS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JURY TRIAL OF ANY CLAIM OR CAUSE OF ACTION BASED UPON OR ARISING HEREUNDER OR UNDER ANY OF THE OTHER CREDIT DOCUMENTS OR ANY DEALINGS BETWEEN THEM RELATING TO THE SUBJECT MATTER OF THIS LOAN TRANSACTION OR THE LENDER/COMPANY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WHICH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10.16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10.17 Confidentiality</w:t>
      </w:r>
      <w:r>
        <w:rPr>
          <w:rFonts w:ascii="Times New Roman" w:cs="Times New Roman" w:eastAsia="Times New Roman" w:hAnsi="Times New Roman"/>
          <w:sz w:val="18"/>
          <w:szCs w:val="18"/>
          <w:color w:val="auto"/>
        </w:rPr>
        <w:t>. Each of the Administrative Agent, the Collateral Agent and the Lenders agrees to maintain the confidentiality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 Governmental Authority or by any subpoena or similar legal process, (d) to any other party to this Agreement, (e) in connection with the exercise of any remedies hereunder or any suit, action or proceeding relating to this Agreement or any other Credit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Credit Parties and their obligations, (g) with the consent of the Borrower or (h) to the extent such Information (i) becomes publicly available other than as a result of a breach of this Section or (ii) becomes available to the Administrative Agent or any Lender on a non-confidential basis from a source other than the Borrower. For the purposes of this Section,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LENDER ACKNOWLEDGES THAT INFORMATION AS DEFINED IN SECTION 10.17 FURNISHED TO IT PURSUANT TO THIS AGREEMENT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BORROWER OR THE ADMINISTRATIVE AGENT PURSUANT TO, OR IN THE COURSE OF ADMINISTERING, THIS AGREEMENT WILL BE SYNDICATE-LEVEL INFORMATION, WHICH MAY CONTAIN MATERIAL NON-PUBLIC INFORMATION ABOUT THE COMPANY, THE CREDIT PARTIES AND THEIR RELATED PARTIES OR THEIR RESPECTIVE SECURITIES. ACCORDINGLY, EACH LENDER REPRESENTS TO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10.18 Usury Savings Clause</w:t>
      </w:r>
      <w:r>
        <w:rPr>
          <w:rFonts w:ascii="Times New Roman" w:cs="Times New Roman" w:eastAsia="Times New Roman" w:hAnsi="Times New Roman"/>
          <w:sz w:val="18"/>
          <w:szCs w:val="18"/>
          <w:color w:val="auto"/>
        </w:rPr>
        <w:t>. Notwithstanding any other provision herein, the aggregate interest rate charged with respect to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the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w:t>
      </w:r>
    </w:p>
    <w:p>
      <w:pPr>
        <w:spacing w:after="0" w:line="19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10.19</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9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electronic file shall be effective as delivery of a manually executed counterpart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Credit Document and/or (z) any document, amendment, approval, consent, information, notice (including, for the avoidance of doubt, any notice delivered pursuant to Section 10.1), certificate, request, statement, disclosure or authorization related to this Agreement, any other Credit Document and/or the transactions contemplated hereby and/or thereby (each an “</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9" w:name="page190"/>
    <w:bookmarkEnd w:id="18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10.20 Effectiveness</w:t>
      </w:r>
      <w:r>
        <w:rPr>
          <w:rFonts w:ascii="Times New Roman" w:cs="Times New Roman" w:eastAsia="Times New Roman" w:hAnsi="Times New Roman"/>
          <w:sz w:val="18"/>
          <w:szCs w:val="18"/>
          <w:color w:val="auto"/>
        </w:rPr>
        <w:t>. This Agreement and the other Credit Documents and any separate letter agreements with respect to fees payable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constitute the entire contract among the parties relating to the subject matter hereof and supersede any and all previous agreements and understandings, oral or written, relating to the subject matter hereof.</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10.21 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Administrative Agent and the Lenders, in assets which, in accordance with Article 9 of the UCC, the PPSA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10.22 USA PATRIOT Act</w:t>
      </w:r>
      <w:r>
        <w:rPr>
          <w:rFonts w:ascii="Times New Roman" w:cs="Times New Roman" w:eastAsia="Times New Roman" w:hAnsi="Times New Roman"/>
          <w:sz w:val="18"/>
          <w:szCs w:val="18"/>
          <w:color w:val="auto"/>
        </w:rPr>
        <w:t>. Each Lender that is subject to the requirements of the USA Patriot Act (Title III of Pub. L. 107-56 (signed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October 26, 2001))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0" w:name="page191"/>
    <w:bookmarkEnd w:id="190"/>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10.23</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10.24</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10.25</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10.26</w:t>
      </w:r>
      <w:r>
        <w:rPr>
          <w:sz w:val="20"/>
          <w:szCs w:val="20"/>
          <w:color w:val="auto"/>
        </w:rPr>
        <w:tab/>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10.27 Acknowledgment and Consent to Bail-In of Affected Financial Institutions</w:t>
      </w:r>
      <w:r>
        <w:rPr>
          <w:rFonts w:ascii="Times New Roman" w:cs="Times New Roman" w:eastAsia="Times New Roman" w:hAnsi="Times New Roman"/>
          <w:sz w:val="18"/>
          <w:szCs w:val="18"/>
          <w:color w:val="auto"/>
        </w:rPr>
        <w:t>. Notwithstanding anything to the contrary in any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9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8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10.28 Acknowledgement Regarding Any Supported QFCs</w:t>
      </w:r>
      <w:r>
        <w:rPr>
          <w:rFonts w:ascii="Times New Roman" w:cs="Times New Roman" w:eastAsia="Times New Roman" w:hAnsi="Times New Roman"/>
          <w:sz w:val="18"/>
          <w:szCs w:val="18"/>
          <w:color w:val="auto"/>
        </w:rPr>
        <w:t>. To the extent that the Credit Documents provide support, through a guarantee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for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1" w:name="page192"/>
    <w:bookmarkEnd w:id="19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10.29 Canadian Anti-Money Laundering Legislation</w:t>
      </w:r>
      <w:r>
        <w:rPr>
          <w:rFonts w:ascii="Times New Roman" w:cs="Times New Roman" w:eastAsia="Times New Roman" w:hAnsi="Times New Roman"/>
          <w:sz w:val="18"/>
          <w:szCs w:val="18"/>
          <w:color w:val="auto"/>
        </w:rPr>
        <w:t>. Each Credit Party acknowledges that, pursuant to the Canadian Anti-Money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Laundering &amp; Anti-Terrorism Legislation and other applicable anti-money laundering, anti-terrorist financing, government sanction and “know your client” laws (collectively, including any guidelines or orders thereunder, “</w:t>
      </w:r>
      <w:r>
        <w:rPr>
          <w:rFonts w:ascii="Times New Roman" w:cs="Times New Roman" w:eastAsia="Times New Roman" w:hAnsi="Times New Roman"/>
          <w:sz w:val="18"/>
          <w:szCs w:val="18"/>
          <w:b w:val="1"/>
          <w:bCs w:val="1"/>
          <w:color w:val="auto"/>
        </w:rPr>
        <w:t>AML Legislation</w:t>
      </w:r>
      <w:r>
        <w:rPr>
          <w:rFonts w:ascii="Times New Roman" w:cs="Times New Roman" w:eastAsia="Times New Roman" w:hAnsi="Times New Roman"/>
          <w:sz w:val="18"/>
          <w:szCs w:val="18"/>
          <w:color w:val="auto"/>
        </w:rPr>
        <w:t>”), the Lenders may be required to obtain, verify and record information regarding the Credit Parties and their respective directors, authorized signing officers, direct or indirect shareholders or other Persons in control of the Credit Parties, and the transactions contemplated hereby. Each Credit Party shall promptly provide all such information, including supporting documentation and other evidence, as may be reasonably requested by any Lender or any prospective assignee or participant of the Lender, in order to comply with any applicable AML Legislation, whether now or hereafter in existence. If the Administrative Agent has ascertained the identity of any Credit Party or any authorized signatories of any Credit Party for the purposes of applicable AML Legislation, then the Administrative Agent, (i) shall be deemed to have done so as an agent for each Secured Party, and this Agreement shall constitute a “written agreement” in such regard between each Secured Party and the Administrative Agent within the meaning of the applicable AML Legislation; and (ii) shall provide to each Secured Party copies of all information obtained in such regard without any representation or warranty as to its accuracy or completeness.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FF0000"/>
          <w:strike w:val="1"/>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796290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FUNDING NOTICE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FF0000"/>
          <w:strike w:val="1"/>
        </w:rPr>
        <w:t>Reference is made to the Credit and Guaranty Agreement, dated as of October 25, 2021 (as the same may be amended, restated, supplemented or otherwise modified from time to time, or otherwise renewed, refinanced or replaced from time to time (including subsequent or successive renewals, refinancings or replacements, and pursuant to one or more agreements or facilities), the “</w:t>
      </w:r>
      <w:r>
        <w:rPr>
          <w:rFonts w:ascii="Times New Roman" w:cs="Times New Roman" w:eastAsia="Times New Roman" w:hAnsi="Times New Roman"/>
          <w:sz w:val="18"/>
          <w:szCs w:val="18"/>
          <w:b w:val="1"/>
          <w:bCs w:val="1"/>
          <w:color w:val="FF0000"/>
          <w:strike w:val="1"/>
        </w:rPr>
        <w:t>Credit Agreement</w:t>
      </w:r>
      <w:r>
        <w:rPr>
          <w:rFonts w:ascii="Times New Roman" w:cs="Times New Roman" w:eastAsia="Times New Roman" w:hAnsi="Times New Roman"/>
          <w:sz w:val="18"/>
          <w:szCs w:val="18"/>
          <w:color w:val="FF0000"/>
          <w:strike w:val="1"/>
        </w:rPr>
        <w:t>”; the terms defined therein and not otherwise defined herein being used herein as therein defined), by and among Hydrofarm Holdings Group, Inc. (the “</w:t>
      </w:r>
      <w:r>
        <w:rPr>
          <w:rFonts w:ascii="Times New Roman" w:cs="Times New Roman" w:eastAsia="Times New Roman" w:hAnsi="Times New Roman"/>
          <w:sz w:val="18"/>
          <w:szCs w:val="18"/>
          <w:b w:val="1"/>
          <w:bCs w:val="1"/>
          <w:color w:val="FF0000"/>
          <w:strike w:val="1"/>
        </w:rPr>
        <w:t>Company</w:t>
      </w:r>
      <w:r>
        <w:rPr>
          <w:rFonts w:ascii="Times New Roman" w:cs="Times New Roman" w:eastAsia="Times New Roman" w:hAnsi="Times New Roman"/>
          <w:sz w:val="18"/>
          <w:szCs w:val="18"/>
          <w:color w:val="FF0000"/>
          <w:strike w:val="1"/>
        </w:rPr>
        <w:t>” or the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color w:val="FF0000"/>
          <w:strike w:val="1"/>
        </w:rPr>
        <w:t>”), the Subsidiaries of the Borrower party thereto from time to time (each a “</w:t>
      </w:r>
      <w:r>
        <w:rPr>
          <w:rFonts w:ascii="Times New Roman" w:cs="Times New Roman" w:eastAsia="Times New Roman" w:hAnsi="Times New Roman"/>
          <w:sz w:val="18"/>
          <w:szCs w:val="18"/>
          <w:b w:val="1"/>
          <w:bCs w:val="1"/>
          <w:color w:val="FF0000"/>
          <w:strike w:val="1"/>
        </w:rPr>
        <w:t>Guarantor</w:t>
      </w:r>
      <w:r>
        <w:rPr>
          <w:rFonts w:ascii="Times New Roman" w:cs="Times New Roman" w:eastAsia="Times New Roman" w:hAnsi="Times New Roman"/>
          <w:sz w:val="18"/>
          <w:szCs w:val="18"/>
          <w:color w:val="FF0000"/>
          <w:strike w:val="1"/>
        </w:rPr>
        <w:t>” and collectively the “</w:t>
      </w:r>
      <w:r>
        <w:rPr>
          <w:rFonts w:ascii="Times New Roman" w:cs="Times New Roman" w:eastAsia="Times New Roman" w:hAnsi="Times New Roman"/>
          <w:sz w:val="18"/>
          <w:szCs w:val="18"/>
          <w:b w:val="1"/>
          <w:bCs w:val="1"/>
          <w:color w:val="FF0000"/>
          <w:strike w:val="1"/>
        </w:rPr>
        <w:t>Guarantors</w:t>
      </w:r>
      <w:r>
        <w:rPr>
          <w:rFonts w:ascii="Times New Roman" w:cs="Times New Roman" w:eastAsia="Times New Roman" w:hAnsi="Times New Roman"/>
          <w:sz w:val="18"/>
          <w:szCs w:val="18"/>
          <w:color w:val="FF0000"/>
          <w:strike w:val="1"/>
        </w:rPr>
        <w:t>”), the banks and financial institutions party thereto from time to time (together with their respective successors and assigns, each individually referred to herein as a “</w:t>
      </w:r>
      <w:r>
        <w:rPr>
          <w:rFonts w:ascii="Times New Roman" w:cs="Times New Roman" w:eastAsia="Times New Roman" w:hAnsi="Times New Roman"/>
          <w:sz w:val="18"/>
          <w:szCs w:val="18"/>
          <w:b w:val="1"/>
          <w:bCs w:val="1"/>
          <w:color w:val="FF0000"/>
          <w:strike w:val="1"/>
        </w:rPr>
        <w:t>Lender</w:t>
      </w:r>
      <w:r>
        <w:rPr>
          <w:rFonts w:ascii="Times New Roman" w:cs="Times New Roman" w:eastAsia="Times New Roman" w:hAnsi="Times New Roman"/>
          <w:sz w:val="18"/>
          <w:szCs w:val="18"/>
          <w:color w:val="FF0000"/>
          <w:strike w:val="1"/>
        </w:rPr>
        <w:t>” and collectively as “</w:t>
      </w:r>
      <w:r>
        <w:rPr>
          <w:rFonts w:ascii="Times New Roman" w:cs="Times New Roman" w:eastAsia="Times New Roman" w:hAnsi="Times New Roman"/>
          <w:sz w:val="18"/>
          <w:szCs w:val="18"/>
          <w:b w:val="1"/>
          <w:bCs w:val="1"/>
          <w:color w:val="FF0000"/>
          <w:strike w:val="1"/>
        </w:rPr>
        <w:t>Lenders</w:t>
      </w:r>
      <w:r>
        <w:rPr>
          <w:rFonts w:ascii="Times New Roman" w:cs="Times New Roman" w:eastAsia="Times New Roman" w:hAnsi="Times New Roman"/>
          <w:sz w:val="18"/>
          <w:szCs w:val="18"/>
          <w:color w:val="FF0000"/>
          <w:strike w:val="1"/>
        </w:rPr>
        <w:t>”), JPMorgan Chase Bank, N.A. (“</w:t>
      </w:r>
      <w:r>
        <w:rPr>
          <w:rFonts w:ascii="Times New Roman" w:cs="Times New Roman" w:eastAsia="Times New Roman" w:hAnsi="Times New Roman"/>
          <w:sz w:val="18"/>
          <w:szCs w:val="18"/>
          <w:b w:val="1"/>
          <w:bCs w:val="1"/>
          <w:color w:val="FF0000"/>
          <w:strike w:val="1"/>
        </w:rPr>
        <w:t>JPMCB</w:t>
      </w:r>
      <w:r>
        <w:rPr>
          <w:rFonts w:ascii="Times New Roman" w:cs="Times New Roman" w:eastAsia="Times New Roman" w:hAnsi="Times New Roman"/>
          <w:sz w:val="18"/>
          <w:szCs w:val="18"/>
          <w:color w:val="FF0000"/>
          <w:strike w:val="1"/>
        </w:rPr>
        <w:t>”), as administrative agent for the Lenders (in such capacity, “</w:t>
      </w:r>
      <w:r>
        <w:rPr>
          <w:rFonts w:ascii="Times New Roman" w:cs="Times New Roman" w:eastAsia="Times New Roman" w:hAnsi="Times New Roman"/>
          <w:sz w:val="18"/>
          <w:szCs w:val="18"/>
          <w:b w:val="1"/>
          <w:bCs w:val="1"/>
          <w:color w:val="FF0000"/>
          <w:strike w:val="1"/>
        </w:rPr>
        <w:t>Administrative Agent</w:t>
      </w:r>
      <w:r>
        <w:rPr>
          <w:rFonts w:ascii="Times New Roman" w:cs="Times New Roman" w:eastAsia="Times New Roman" w:hAnsi="Times New Roman"/>
          <w:sz w:val="18"/>
          <w:szCs w:val="18"/>
          <w:color w:val="FF0000"/>
          <w:strike w:val="1"/>
        </w:rPr>
        <w:t>”) and as collateral agent for the Lenders (in such capacity, “</w:t>
      </w:r>
      <w:r>
        <w:rPr>
          <w:rFonts w:ascii="Times New Roman" w:cs="Times New Roman" w:eastAsia="Times New Roman" w:hAnsi="Times New Roman"/>
          <w:sz w:val="18"/>
          <w:szCs w:val="18"/>
          <w:b w:val="1"/>
          <w:bCs w:val="1"/>
          <w:color w:val="FF0000"/>
          <w:strike w:val="1"/>
        </w:rPr>
        <w:t>Collateral Agent</w:t>
      </w:r>
      <w:r>
        <w:rPr>
          <w:rFonts w:ascii="Times New Roman" w:cs="Times New Roman" w:eastAsia="Times New Roman" w:hAnsi="Times New Roman"/>
          <w:sz w:val="18"/>
          <w:szCs w:val="18"/>
          <w:color w:val="FF0000"/>
          <w:strike w:val="1"/>
        </w:rPr>
        <w:t>”) and the other agents party thereto.</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Pursuant to Section 2.1(b) of the Credit Agreement, Borrower desires that Lenders make the following Credit Extension[s] to Company in accordance with the applicable terms and conditions of the Credit Agreement on [mm/dd/yyyy] (the “</w:t>
      </w:r>
      <w:r>
        <w:rPr>
          <w:rFonts w:ascii="Times New Roman" w:cs="Times New Roman" w:eastAsia="Times New Roman" w:hAnsi="Times New Roman"/>
          <w:sz w:val="18"/>
          <w:szCs w:val="18"/>
          <w:b w:val="1"/>
          <w:bCs w:val="1"/>
          <w:color w:val="FF0000"/>
          <w:strike w:val="1"/>
        </w:rPr>
        <w:t>Credit Date</w:t>
      </w:r>
      <w:r>
        <w:rPr>
          <w:rFonts w:ascii="Times New Roman" w:cs="Times New Roman" w:eastAsia="Times New Roman" w:hAnsi="Times New Roman"/>
          <w:sz w:val="18"/>
          <w:szCs w:val="18"/>
          <w:color w:val="FF0000"/>
          <w:strike w:val="1"/>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Term Loans</w:t>
      </w:r>
    </w:p>
    <w:p>
      <w:pPr>
        <w:spacing w:after="0" w:line="184" w:lineRule="exact"/>
        <w:rPr>
          <w:sz w:val="20"/>
          <w:szCs w:val="20"/>
          <w:color w:val="auto"/>
        </w:rPr>
      </w:pPr>
    </w:p>
    <w:p>
      <w:pPr>
        <w:ind w:left="1300"/>
        <w:spacing w:after="0"/>
        <w:tabs>
          <w:tab w:leader="none" w:pos="1840" w:val="left"/>
          <w:tab w:leader="none" w:pos="5080" w:val="left"/>
        </w:tabs>
        <w:rPr>
          <w:sz w:val="20"/>
          <w:szCs w:val="20"/>
          <w:color w:val="auto"/>
        </w:rPr>
      </w:pPr>
      <w:r>
        <w:rPr>
          <w:rFonts w:ascii="MS PGothic" w:cs="MS PGothic" w:eastAsia="MS PGothic" w:hAnsi="MS PGothic"/>
          <w:sz w:val="18"/>
          <w:szCs w:val="18"/>
          <w:color w:val="FF0000"/>
        </w:rPr>
        <w:t>☐</w:t>
      </w:r>
      <w:r>
        <w:rPr>
          <w:sz w:val="20"/>
          <w:szCs w:val="20"/>
          <w:color w:val="auto"/>
        </w:rPr>
        <w:tab/>
      </w:r>
      <w:r>
        <w:rPr>
          <w:rFonts w:ascii="Times New Roman" w:cs="Times New Roman" w:eastAsia="Times New Roman" w:hAnsi="Times New Roman"/>
          <w:sz w:val="18"/>
          <w:szCs w:val="18"/>
          <w:color w:val="FF0000"/>
        </w:rPr>
        <w:t>ABR Loans:</w:t>
      </w:r>
      <w:r>
        <w:rPr>
          <w:sz w:val="20"/>
          <w:szCs w:val="20"/>
          <w:color w:val="auto"/>
        </w:rPr>
        <w:tab/>
      </w:r>
      <w:r>
        <w:rPr>
          <w:rFonts w:ascii="Times New Roman" w:cs="Times New Roman" w:eastAsia="Times New Roman" w:hAnsi="Times New Roman"/>
          <w:sz w:val="18"/>
          <w:szCs w:val="18"/>
          <w:color w:val="FF000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-33020</wp:posOffset>
            </wp:positionV>
            <wp:extent cx="25749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246" w:lineRule="exact"/>
        <w:rPr>
          <w:sz w:val="20"/>
          <w:szCs w:val="20"/>
          <w:color w:val="auto"/>
        </w:rPr>
      </w:pPr>
    </w:p>
    <w:p>
      <w:pPr>
        <w:ind w:left="1860" w:hanging="556"/>
        <w:spacing w:after="0"/>
        <w:tabs>
          <w:tab w:leader="none" w:pos="1860" w:val="left"/>
        </w:tabs>
        <w:numPr>
          <w:ilvl w:val="0"/>
          <w:numId w:val="134"/>
        </w:numPr>
        <w:rPr>
          <w:rFonts w:ascii="MS PGothic" w:cs="MS PGothic" w:eastAsia="MS PGothic" w:hAnsi="MS PGothic"/>
          <w:sz w:val="18"/>
          <w:szCs w:val="18"/>
          <w:color w:val="FF0000"/>
          <w:strike w:val="1"/>
        </w:rPr>
      </w:pPr>
      <w:r>
        <w:rPr>
          <w:rFonts w:ascii="Times New Roman" w:cs="Times New Roman" w:eastAsia="Times New Roman" w:hAnsi="Times New Roman"/>
          <w:sz w:val="18"/>
          <w:szCs w:val="18"/>
          <w:color w:val="FF0000"/>
          <w:strike w:val="1"/>
        </w:rPr>
        <w:t>Term Benchmark Loans, with an Initial</w:t>
      </w:r>
    </w:p>
    <w:p>
      <w:pPr>
        <w:spacing w:after="0" w:line="225" w:lineRule="exact"/>
        <w:rPr>
          <w:sz w:val="20"/>
          <w:szCs w:val="20"/>
          <w:color w:val="auto"/>
        </w:rPr>
      </w:pPr>
    </w:p>
    <w:p>
      <w:pPr>
        <w:ind w:left="1880"/>
        <w:spacing w:after="0"/>
        <w:tabs>
          <w:tab w:leader="none" w:pos="5100" w:val="left"/>
        </w:tabs>
        <w:rPr>
          <w:sz w:val="20"/>
          <w:szCs w:val="20"/>
          <w:color w:val="auto"/>
        </w:rPr>
      </w:pPr>
      <w:r>
        <w:rPr>
          <w:rFonts w:ascii="Times New Roman" w:cs="Times New Roman" w:eastAsia="Times New Roman" w:hAnsi="Times New Roman"/>
          <w:sz w:val="18"/>
          <w:szCs w:val="18"/>
          <w:color w:val="FF0000"/>
        </w:rPr>
        <w:t>Interest Period of [ ] Month(s):</w:t>
      </w:r>
      <w:r>
        <w:rPr>
          <w:sz w:val="20"/>
          <w:szCs w:val="20"/>
          <w:color w:val="auto"/>
        </w:rPr>
        <w:tab/>
      </w:r>
      <w:r>
        <w:rPr>
          <w:rFonts w:ascii="Times New Roman" w:cs="Times New Roman" w:eastAsia="Times New Roman" w:hAnsi="Times New Roman"/>
          <w:sz w:val="18"/>
          <w:szCs w:val="18"/>
          <w:color w:val="FF000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-59055</wp:posOffset>
            </wp:positionV>
            <wp:extent cx="24879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8793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Borrower hereby certifies that:</w:t>
      </w:r>
    </w:p>
    <w:p>
      <w:pPr>
        <w:spacing w:after="0" w:line="225" w:lineRule="exact"/>
        <w:rPr>
          <w:sz w:val="20"/>
          <w:szCs w:val="20"/>
          <w:color w:val="auto"/>
        </w:rPr>
      </w:pPr>
    </w:p>
    <w:p>
      <w:pPr>
        <w:ind w:left="1240" w:hanging="584"/>
        <w:spacing w:after="0"/>
        <w:tabs>
          <w:tab w:leader="none" w:pos="1240" w:val="left"/>
        </w:tabs>
        <w:numPr>
          <w:ilvl w:val="0"/>
          <w:numId w:val="135"/>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the Credit Extension[s] requested herein [comply] [complies] with the provisions of Section 2.1; and</w:t>
      </w:r>
    </w:p>
    <w:p>
      <w:pPr>
        <w:spacing w:after="0" w:line="225" w:lineRule="exact"/>
        <w:rPr>
          <w:rFonts w:ascii="Times New Roman" w:cs="Times New Roman" w:eastAsia="Times New Roman" w:hAnsi="Times New Roman"/>
          <w:sz w:val="18"/>
          <w:szCs w:val="18"/>
          <w:color w:val="FF0000"/>
        </w:rPr>
      </w:pPr>
    </w:p>
    <w:p>
      <w:pPr>
        <w:ind w:left="1280" w:hanging="624"/>
        <w:spacing w:after="0"/>
        <w:tabs>
          <w:tab w:leader="none" w:pos="1280" w:val="left"/>
        </w:tabs>
        <w:numPr>
          <w:ilvl w:val="0"/>
          <w:numId w:val="135"/>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the conditions specified in Section 3.1 have been satisfied on and as of the Credit Date.</w:t>
      </w:r>
    </w:p>
    <w:p>
      <w:pPr>
        <w:spacing w:after="0" w:line="225" w:lineRule="exact"/>
        <w:rPr>
          <w:rFonts w:ascii="Times New Roman" w:cs="Times New Roman" w:eastAsia="Times New Roman" w:hAnsi="Times New Roman"/>
          <w:sz w:val="18"/>
          <w:szCs w:val="18"/>
          <w:color w:val="FF0000"/>
        </w:rPr>
      </w:pPr>
    </w:p>
    <w:p>
      <w:pPr>
        <w:ind w:left="5620"/>
        <w:spacing w:after="0"/>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strike w:val="1"/>
        </w:rPr>
        <w:t>HYDROFARM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-607695</wp:posOffset>
            </wp:positionV>
            <wp:extent cx="4965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6570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-333375</wp:posOffset>
            </wp:positionV>
            <wp:extent cx="4378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78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214630</wp:posOffset>
            </wp:positionV>
            <wp:extent cx="285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9996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99961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-59055</wp:posOffset>
            </wp:positionV>
            <wp:extent cx="21926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-70485</wp:posOffset>
            </wp:positionV>
            <wp:extent cx="5041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4190" cy="889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-70485</wp:posOffset>
            </wp:positionV>
            <wp:extent cx="441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FF0000"/>
        </w:rPr>
        <w:t>Date:</w:t>
      </w:r>
      <w:r>
        <w:rPr>
          <w:sz w:val="20"/>
          <w:szCs w:val="20"/>
          <w:color w:val="auto"/>
        </w:rPr>
        <w:tab/>
      </w:r>
      <w:r>
        <w:rPr>
          <w:rFonts w:ascii="Times New Roman" w:cs="Times New Roman" w:eastAsia="Times New Roman" w:hAnsi="Times New Roman"/>
          <w:sz w:val="18"/>
          <w:szCs w:val="18"/>
          <w:color w:val="FF0000"/>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1645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Annex 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FF0000"/>
          <w:strike w:val="1"/>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777240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EXHIBIT 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CONVERSION/CONTINUATION NOTICE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FF0000"/>
          <w:strike w:val="1"/>
        </w:rPr>
        <w:t>Reference is made to the Credit and Guaranty Agreement, dated as of October 25, 2021 (as the same may be amended, restated, supplemented or otherwise modified from time to time, or otherwise renewed, refinanced or replaced from time to time (including subsequent or successive renewals, refinancings or replacements, and pursuant to one or more agreements or facilities), the “</w:t>
      </w:r>
      <w:r>
        <w:rPr>
          <w:rFonts w:ascii="Times New Roman" w:cs="Times New Roman" w:eastAsia="Times New Roman" w:hAnsi="Times New Roman"/>
          <w:sz w:val="18"/>
          <w:szCs w:val="18"/>
          <w:b w:val="1"/>
          <w:bCs w:val="1"/>
          <w:color w:val="FF0000"/>
          <w:strike w:val="1"/>
        </w:rPr>
        <w:t>Credit Agreement</w:t>
      </w:r>
      <w:r>
        <w:rPr>
          <w:rFonts w:ascii="Times New Roman" w:cs="Times New Roman" w:eastAsia="Times New Roman" w:hAnsi="Times New Roman"/>
          <w:sz w:val="18"/>
          <w:szCs w:val="18"/>
          <w:color w:val="FF0000"/>
          <w:strike w:val="1"/>
        </w:rPr>
        <w:t>”; the terms defined therein and not otherwise defined herein being used herein as therein defined), by and among Hydrofarm Holdings Group, Inc. (the “</w:t>
      </w:r>
      <w:r>
        <w:rPr>
          <w:rFonts w:ascii="Times New Roman" w:cs="Times New Roman" w:eastAsia="Times New Roman" w:hAnsi="Times New Roman"/>
          <w:sz w:val="18"/>
          <w:szCs w:val="18"/>
          <w:b w:val="1"/>
          <w:bCs w:val="1"/>
          <w:color w:val="FF0000"/>
          <w:strike w:val="1"/>
        </w:rPr>
        <w:t>Company</w:t>
      </w:r>
      <w:r>
        <w:rPr>
          <w:rFonts w:ascii="Times New Roman" w:cs="Times New Roman" w:eastAsia="Times New Roman" w:hAnsi="Times New Roman"/>
          <w:sz w:val="18"/>
          <w:szCs w:val="18"/>
          <w:color w:val="FF0000"/>
          <w:strike w:val="1"/>
        </w:rPr>
        <w:t>” or the “</w:t>
      </w:r>
      <w:r>
        <w:rPr>
          <w:rFonts w:ascii="Times New Roman" w:cs="Times New Roman" w:eastAsia="Times New Roman" w:hAnsi="Times New Roman"/>
          <w:sz w:val="18"/>
          <w:szCs w:val="18"/>
          <w:b w:val="1"/>
          <w:bCs w:val="1"/>
          <w:color w:val="FF0000"/>
          <w:strike w:val="1"/>
        </w:rPr>
        <w:t>Borrower</w:t>
      </w:r>
      <w:r>
        <w:rPr>
          <w:rFonts w:ascii="Times New Roman" w:cs="Times New Roman" w:eastAsia="Times New Roman" w:hAnsi="Times New Roman"/>
          <w:sz w:val="18"/>
          <w:szCs w:val="18"/>
          <w:color w:val="FF0000"/>
          <w:strike w:val="1"/>
        </w:rPr>
        <w:t>”), the Subsidiaries of the Borrower party thereto from time to time (each a “</w:t>
      </w:r>
      <w:r>
        <w:rPr>
          <w:rFonts w:ascii="Times New Roman" w:cs="Times New Roman" w:eastAsia="Times New Roman" w:hAnsi="Times New Roman"/>
          <w:sz w:val="18"/>
          <w:szCs w:val="18"/>
          <w:b w:val="1"/>
          <w:bCs w:val="1"/>
          <w:color w:val="FF0000"/>
          <w:strike w:val="1"/>
        </w:rPr>
        <w:t>Guarantor</w:t>
      </w:r>
      <w:r>
        <w:rPr>
          <w:rFonts w:ascii="Times New Roman" w:cs="Times New Roman" w:eastAsia="Times New Roman" w:hAnsi="Times New Roman"/>
          <w:sz w:val="18"/>
          <w:szCs w:val="18"/>
          <w:color w:val="FF0000"/>
          <w:strike w:val="1"/>
        </w:rPr>
        <w:t>” and collectively the “</w:t>
      </w:r>
      <w:r>
        <w:rPr>
          <w:rFonts w:ascii="Times New Roman" w:cs="Times New Roman" w:eastAsia="Times New Roman" w:hAnsi="Times New Roman"/>
          <w:sz w:val="18"/>
          <w:szCs w:val="18"/>
          <w:b w:val="1"/>
          <w:bCs w:val="1"/>
          <w:color w:val="FF0000"/>
          <w:strike w:val="1"/>
        </w:rPr>
        <w:t>Guarantors</w:t>
      </w:r>
      <w:r>
        <w:rPr>
          <w:rFonts w:ascii="Times New Roman" w:cs="Times New Roman" w:eastAsia="Times New Roman" w:hAnsi="Times New Roman"/>
          <w:sz w:val="18"/>
          <w:szCs w:val="18"/>
          <w:color w:val="FF0000"/>
          <w:strike w:val="1"/>
        </w:rPr>
        <w:t>”), the banks and financial institutions party thereto from time to time (together with their respective successors and assigns, each individually referred to herein as a “</w:t>
      </w:r>
      <w:r>
        <w:rPr>
          <w:rFonts w:ascii="Times New Roman" w:cs="Times New Roman" w:eastAsia="Times New Roman" w:hAnsi="Times New Roman"/>
          <w:sz w:val="18"/>
          <w:szCs w:val="18"/>
          <w:b w:val="1"/>
          <w:bCs w:val="1"/>
          <w:color w:val="FF0000"/>
          <w:strike w:val="1"/>
        </w:rPr>
        <w:t>Lender</w:t>
      </w:r>
      <w:r>
        <w:rPr>
          <w:rFonts w:ascii="Times New Roman" w:cs="Times New Roman" w:eastAsia="Times New Roman" w:hAnsi="Times New Roman"/>
          <w:sz w:val="18"/>
          <w:szCs w:val="18"/>
          <w:color w:val="FF0000"/>
          <w:strike w:val="1"/>
        </w:rPr>
        <w:t>” and collectively as “</w:t>
      </w:r>
      <w:r>
        <w:rPr>
          <w:rFonts w:ascii="Times New Roman" w:cs="Times New Roman" w:eastAsia="Times New Roman" w:hAnsi="Times New Roman"/>
          <w:sz w:val="18"/>
          <w:szCs w:val="18"/>
          <w:b w:val="1"/>
          <w:bCs w:val="1"/>
          <w:color w:val="FF0000"/>
          <w:strike w:val="1"/>
        </w:rPr>
        <w:t>Lenders</w:t>
      </w:r>
      <w:r>
        <w:rPr>
          <w:rFonts w:ascii="Times New Roman" w:cs="Times New Roman" w:eastAsia="Times New Roman" w:hAnsi="Times New Roman"/>
          <w:sz w:val="18"/>
          <w:szCs w:val="18"/>
          <w:color w:val="FF0000"/>
          <w:strike w:val="1"/>
        </w:rPr>
        <w:t>”), JPMorgan Chase Bank, N.A. (“</w:t>
      </w:r>
      <w:r>
        <w:rPr>
          <w:rFonts w:ascii="Times New Roman" w:cs="Times New Roman" w:eastAsia="Times New Roman" w:hAnsi="Times New Roman"/>
          <w:sz w:val="18"/>
          <w:szCs w:val="18"/>
          <w:b w:val="1"/>
          <w:bCs w:val="1"/>
          <w:color w:val="FF0000"/>
          <w:strike w:val="1"/>
        </w:rPr>
        <w:t>JPMCB</w:t>
      </w:r>
      <w:r>
        <w:rPr>
          <w:rFonts w:ascii="Times New Roman" w:cs="Times New Roman" w:eastAsia="Times New Roman" w:hAnsi="Times New Roman"/>
          <w:sz w:val="18"/>
          <w:szCs w:val="18"/>
          <w:color w:val="FF0000"/>
          <w:strike w:val="1"/>
        </w:rPr>
        <w:t>”), as administrative agent for the Lenders (in such capacity, “</w:t>
      </w:r>
      <w:r>
        <w:rPr>
          <w:rFonts w:ascii="Times New Roman" w:cs="Times New Roman" w:eastAsia="Times New Roman" w:hAnsi="Times New Roman"/>
          <w:sz w:val="18"/>
          <w:szCs w:val="18"/>
          <w:b w:val="1"/>
          <w:bCs w:val="1"/>
          <w:color w:val="FF0000"/>
          <w:strike w:val="1"/>
        </w:rPr>
        <w:t>Administrative Agent</w:t>
      </w:r>
      <w:r>
        <w:rPr>
          <w:rFonts w:ascii="Times New Roman" w:cs="Times New Roman" w:eastAsia="Times New Roman" w:hAnsi="Times New Roman"/>
          <w:sz w:val="18"/>
          <w:szCs w:val="18"/>
          <w:color w:val="FF0000"/>
          <w:strike w:val="1"/>
        </w:rPr>
        <w:t>”) and as collateral agent for the Lenders (in such capacity, “</w:t>
      </w:r>
      <w:r>
        <w:rPr>
          <w:rFonts w:ascii="Times New Roman" w:cs="Times New Roman" w:eastAsia="Times New Roman" w:hAnsi="Times New Roman"/>
          <w:sz w:val="18"/>
          <w:szCs w:val="18"/>
          <w:b w:val="1"/>
          <w:bCs w:val="1"/>
          <w:color w:val="FF0000"/>
          <w:strike w:val="1"/>
        </w:rPr>
        <w:t>Collateral Agent</w:t>
      </w:r>
      <w:r>
        <w:rPr>
          <w:rFonts w:ascii="Times New Roman" w:cs="Times New Roman" w:eastAsia="Times New Roman" w:hAnsi="Times New Roman"/>
          <w:sz w:val="18"/>
          <w:szCs w:val="18"/>
          <w:color w:val="FF0000"/>
          <w:strike w:val="1"/>
        </w:rPr>
        <w:t>”) and the other agents party thereto.</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Pursuant to Section 2.8 of the Credit Agreement, Borrower desires to convert or to continue the following Term Loans, each such conversion and/or continuation to be effective as of [mm/dd/yyyy]:</w:t>
      </w:r>
    </w:p>
    <w:p>
      <w:pPr>
        <w:spacing w:after="0" w:line="16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FF0000"/>
        </w:rPr>
        <w:t>$[ ]</w:t>
      </w:r>
      <w:r>
        <w:rPr>
          <w:sz w:val="20"/>
          <w:szCs w:val="20"/>
          <w:color w:val="auto"/>
        </w:rPr>
        <w:tab/>
      </w:r>
      <w:r>
        <w:rPr>
          <w:rFonts w:ascii="Times New Roman" w:cs="Times New Roman" w:eastAsia="Times New Roman" w:hAnsi="Times New Roman"/>
          <w:sz w:val="17"/>
          <w:szCs w:val="17"/>
          <w:color w:val="FF0000"/>
        </w:rPr>
        <w:t>Term Benchmark Loans to be continued with Interest Period of [ ]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-59055</wp:posOffset>
            </wp:positionV>
            <wp:extent cx="3881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81755"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FF0000"/>
        </w:rPr>
        <w:t>$[ ]</w:t>
      </w:r>
      <w:r>
        <w:rPr>
          <w:sz w:val="20"/>
          <w:szCs w:val="20"/>
          <w:color w:val="auto"/>
        </w:rPr>
        <w:tab/>
      </w:r>
      <w:r>
        <w:rPr>
          <w:rFonts w:ascii="Times New Roman" w:cs="Times New Roman" w:eastAsia="Times New Roman" w:hAnsi="Times New Roman"/>
          <w:sz w:val="17"/>
          <w:szCs w:val="17"/>
          <w:color w:val="FF0000"/>
        </w:rPr>
        <w:t>ABR Loans to be converted to Term Benchmark Loans with Interest Period of [ ]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-59055</wp:posOffset>
            </wp:positionV>
            <wp:extent cx="45707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7073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FF0000"/>
        </w:rPr>
        <w:t>$[ ]</w:t>
      </w:r>
      <w:r>
        <w:rPr>
          <w:sz w:val="20"/>
          <w:szCs w:val="20"/>
          <w:color w:val="auto"/>
        </w:rPr>
        <w:tab/>
      </w:r>
      <w:r>
        <w:rPr>
          <w:rFonts w:ascii="Times New Roman" w:cs="Times New Roman" w:eastAsia="Times New Roman" w:hAnsi="Times New Roman"/>
          <w:sz w:val="17"/>
          <w:szCs w:val="17"/>
          <w:color w:val="FF0000"/>
        </w:rPr>
        <w:t>Term Benchmark Loans to be converted to 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-59055</wp:posOffset>
            </wp:positionV>
            <wp:extent cx="29425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425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6" w:name="page197"/>
    <w:bookmarkEnd w:id="196"/>
    <w:p>
      <w:pPr>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Except in the case of a conversion to ABR Loans, Borrower hereby certifies that as of the date hereof, no event has occurred and is continuing or would result from the consummation of the conversion and/or continuation contemplated hereby that would constitute an Event of Default or a Default.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FF0000"/>
          <w:strike w:val="1"/>
        </w:rPr>
        <w:t>HYDROFARM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214630</wp:posOffset>
            </wp:positionV>
            <wp:extent cx="285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FF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-7620</wp:posOffset>
            </wp:positionV>
            <wp:extent cx="20853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08534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-59055</wp:posOffset>
            </wp:positionV>
            <wp:extent cx="25355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FF000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-70485</wp:posOffset>
            </wp:positionV>
            <wp:extent cx="5327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276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-70485</wp:posOffset>
            </wp:positionV>
            <wp:extent cx="4718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FF0000"/>
        </w:rPr>
        <w:t>Date:</w:t>
      </w:r>
      <w:r>
        <w:rPr>
          <w:sz w:val="20"/>
          <w:szCs w:val="20"/>
          <w:color w:val="auto"/>
        </w:rPr>
        <w:tab/>
      </w:r>
      <w:r>
        <w:rPr>
          <w:rFonts w:ascii="Times New Roman" w:cs="Times New Roman" w:eastAsia="Times New Roman" w:hAnsi="Times New Roman"/>
          <w:sz w:val="18"/>
          <w:szCs w:val="18"/>
          <w:color w:val="FF0000"/>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1645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A-2-2</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lowerLetter"/>
      <w:start w:val="1"/>
    </w:lvl>
  </w:abstractNum>
  <w:abstractNum w:abstractNumId="2">
    <w:nsid w:val="6590700B"/>
    <w:multiLevelType w:val="hybridMultilevel"/>
    <w:lvl w:ilvl="0">
      <w:lvlJc w:val="left"/>
      <w:lvlText w:val="(%1)"/>
      <w:numFmt w:val="lowerLetter"/>
      <w:start w:val="3"/>
    </w:lvl>
  </w:abstractNum>
  <w:abstractNum w:abstractNumId="3">
    <w:nsid w:val="15014ACB"/>
    <w:multiLevelType w:val="hybridMultilevel"/>
    <w:lvl w:ilvl="0">
      <w:lvlJc w:val="left"/>
      <w:lvlText w:val="(%1)"/>
      <w:numFmt w:val="lowerRoman"/>
      <w:start w:val="1"/>
    </w:lvl>
  </w:abstractNum>
  <w:abstractNum w:abstractNumId="4">
    <w:nsid w:val="5F5E7FD0"/>
    <w:multiLevelType w:val="hybridMultilevel"/>
    <w:lvl w:ilvl="0">
      <w:lvlJc w:val="left"/>
      <w:lvlText w:val="(%1)"/>
      <w:numFmt w:val="lowerLetter"/>
      <w:start w:val="1"/>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B"/>
      <w:numFmt w:val="bullet"/>
      <w:start w:val="1"/>
    </w:lvl>
  </w:abstractNum>
  <w:abstractNum w:abstractNumId="7">
    <w:nsid w:val="6B94764"/>
    <w:multiLevelType w:val="hybridMultilevel"/>
    <w:lvl w:ilvl="0">
      <w:lvlJc w:val="left"/>
      <w:lvlText w:val="C"/>
      <w:numFmt w:val="bullet"/>
      <w:start w:val="1"/>
    </w:lvl>
  </w:abstractNum>
  <w:abstractNum w:abstractNumId="8">
    <w:nsid w:val="42C296BD"/>
    <w:multiLevelType w:val="hybridMultilevel"/>
    <w:lvl w:ilvl="0">
      <w:lvlJc w:val="left"/>
      <w:lvlText w:val="D"/>
      <w:numFmt w:val="bullet"/>
      <w:start w:val="1"/>
    </w:lvl>
  </w:abstractNum>
  <w:abstractNum w:abstractNumId="9">
    <w:nsid w:val="168E121F"/>
    <w:multiLevelType w:val="hybridMultilevel"/>
    <w:lvl w:ilvl="0">
      <w:lvlJc w:val="left"/>
      <w:lvlText w:val="H"/>
      <w:numFmt w:val="bullet"/>
      <w:start w:val="1"/>
    </w:lvl>
  </w:abstractNum>
  <w:abstractNum w:abstractNumId="10">
    <w:nsid w:val="1EBA5D23"/>
    <w:multiLevelType w:val="hybridMultilevel"/>
    <w:lvl w:ilvl="0">
      <w:lvlJc w:val="left"/>
      <w:lvlText w:val="J"/>
      <w:numFmt w:val="bullet"/>
      <w:start w:val="1"/>
    </w:lvl>
  </w:abstractNum>
  <w:abstractNum w:abstractNumId="11">
    <w:nsid w:val="661E3F1E"/>
    <w:multiLevelType w:val="hybridMultilevel"/>
    <w:lvl w:ilvl="0">
      <w:lvlJc w:val="left"/>
      <w:lvlText w:val="K"/>
      <w:numFmt w:val="bullet"/>
      <w:start w:val="1"/>
    </w:lvl>
  </w:abstractNum>
  <w:abstractNum w:abstractNumId="12">
    <w:nsid w:val="5DC79EA8"/>
    <w:multiLevelType w:val="hybridMultilevel"/>
    <w:lvl w:ilvl="0">
      <w:lvlJc w:val="left"/>
      <w:lvlText w:val="L"/>
      <w:numFmt w:val="bullet"/>
      <w:start w:val="1"/>
    </w:lvl>
  </w:abstractNum>
  <w:abstractNum w:abstractNumId="13">
    <w:nsid w:val="540A471C"/>
    <w:multiLevelType w:val="hybridMultilevel"/>
    <w:lvl w:ilvl="0">
      <w:lvlJc w:val="left"/>
      <w:lvlText w:val="M"/>
      <w:numFmt w:val="bullet"/>
      <w:start w:val="1"/>
    </w:lvl>
  </w:abstractNum>
  <w:abstractNum w:abstractNumId="14">
    <w:nsid w:val="7BD3EE7B"/>
    <w:multiLevelType w:val="hybridMultilevel"/>
    <w:lvl w:ilvl="0">
      <w:lvlJc w:val="left"/>
      <w:lvlText w:val="N"/>
      <w:numFmt w:val="bullet"/>
      <w:start w:val="1"/>
    </w:lvl>
  </w:abstractNum>
  <w:abstractNum w:abstractNumId="15">
    <w:nsid w:val="51D9C564"/>
    <w:multiLevelType w:val="hybridMultilevel"/>
    <w:lvl w:ilvl="0">
      <w:lvlJc w:val="left"/>
      <w:lvlText w:val="(%1)"/>
      <w:numFmt w:val="lowerLetter"/>
      <w:start w:val="1"/>
    </w:lvl>
    <w:lvl w:ilvl="1">
      <w:lvlJc w:val="left"/>
      <w:lvlText w:val="(%2)"/>
      <w:numFmt w:val="lowerRoman"/>
      <w:start w:val="1"/>
    </w:lvl>
  </w:abstractNum>
  <w:abstractNum w:abstractNumId="16">
    <w:nsid w:val="613EFDC5"/>
    <w:multiLevelType w:val="hybridMultilevel"/>
    <w:lvl w:ilvl="0">
      <w:lvlJc w:val="left"/>
      <w:lvlText w:val="%1"/>
      <w:numFmt w:val="lowerLetter"/>
      <w:start w:val="1"/>
    </w:lvl>
    <w:lvl w:ilvl="1">
      <w:lvlJc w:val="left"/>
      <w:lvlText w:val="(%2)"/>
      <w:numFmt w:val="lowerRoman"/>
      <w:start w:val="4"/>
    </w:lvl>
  </w:abstractNum>
  <w:abstractNum w:abstractNumId="17">
    <w:nsid w:val="BF72B14"/>
    <w:multiLevelType w:val="hybridMultilevel"/>
    <w:lvl w:ilvl="0">
      <w:lvlJc w:val="left"/>
      <w:lvlText w:val="(%1)"/>
      <w:numFmt w:val="lowerLetter"/>
      <w:start w:val="2"/>
    </w:lvl>
    <w:lvl w:ilvl="1">
      <w:lvlJc w:val="left"/>
      <w:lvlText w:val="%2"/>
      <w:numFmt w:val="lowerRoman"/>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1)"/>
      <w:numFmt w:val="decimal"/>
      <w:start w:val="1"/>
    </w:lvl>
  </w:abstractNum>
  <w:abstractNum w:abstractNumId="20">
    <w:nsid w:val="A0382C5"/>
    <w:multiLevelType w:val="hybridMultilevel"/>
    <w:lvl w:ilvl="0">
      <w:lvlJc w:val="left"/>
      <w:lvlText w:val="(%1)"/>
      <w:numFmt w:val="decimal"/>
      <w:start w:val="1"/>
    </w:lvl>
  </w:abstractNum>
  <w:abstractNum w:abstractNumId="21">
    <w:nsid w:val="8F2B15E"/>
    <w:multiLevelType w:val="hybridMultilevel"/>
    <w:lvl w:ilvl="0">
      <w:lvlJc w:val="left"/>
      <w:lvlText w:val="(%1)"/>
      <w:numFmt w:val="lowerRoman"/>
      <w:start w:val="1"/>
    </w:lvl>
  </w:abstractNum>
  <w:abstractNum w:abstractNumId="22">
    <w:nsid w:val="1A32234B"/>
    <w:multiLevelType w:val="hybridMultilevel"/>
    <w:lvl w:ilvl="0">
      <w:lvlJc w:val="left"/>
      <w:lvlText w:val="(%1)"/>
      <w:numFmt w:val="lowerRoman"/>
      <w:start w:val="1"/>
    </w:lvl>
  </w:abstractNum>
  <w:abstractNum w:abstractNumId="23">
    <w:nsid w:val="3B0FD379"/>
    <w:multiLevelType w:val="hybridMultilevel"/>
    <w:lvl w:ilvl="0">
      <w:lvlJc w:val="left"/>
      <w:lvlText w:val="(%1)"/>
      <w:numFmt w:val="lowerLetter"/>
      <w:start w:val="4"/>
    </w:lvl>
  </w:abstractNum>
  <w:abstractNum w:abstractNumId="24">
    <w:nsid w:val="68EB2F63"/>
    <w:multiLevelType w:val="hybridMultilevel"/>
    <w:lvl w:ilvl="0">
      <w:lvlJc w:val="left"/>
      <w:lvlText w:val="(%1)"/>
      <w:numFmt w:val="lowerLetter"/>
      <w:start w:val="7"/>
    </w:lvl>
  </w:abstractNum>
  <w:abstractNum w:abstractNumId="25">
    <w:nsid w:val="4962813B"/>
    <w:multiLevelType w:val="hybridMultilevel"/>
    <w:lvl w:ilvl="0">
      <w:lvlJc w:val="left"/>
      <w:lvlText w:val="(%1)"/>
      <w:numFmt w:val="decimal"/>
      <w:start w:val="519"/>
    </w:lvl>
  </w:abstractNum>
  <w:abstractNum w:abstractNumId="26">
    <w:nsid w:val="60B6DF70"/>
    <w:multiLevelType w:val="hybridMultilevel"/>
    <w:lvl w:ilvl="0">
      <w:lvlJc w:val="left"/>
      <w:lvlText w:val="(%1)"/>
      <w:numFmt w:val="lowerRoman"/>
      <w:start w:val="1"/>
    </w:lvl>
  </w:abstractNum>
  <w:abstractNum w:abstractNumId="27">
    <w:nsid w:val="6A5EE64"/>
    <w:multiLevelType w:val="hybridMultilevel"/>
    <w:lvl w:ilvl="0">
      <w:lvlJc w:val="left"/>
      <w:lvlText w:val="(%1)"/>
      <w:numFmt w:val="lowerRoman"/>
      <w:start w:val="6"/>
    </w:lvl>
  </w:abstractNum>
  <w:abstractNum w:abstractNumId="28">
    <w:nsid w:val="14330624"/>
    <w:multiLevelType w:val="hybridMultilevel"/>
    <w:lvl w:ilvl="0">
      <w:lvlJc w:val="left"/>
      <w:lvlText w:val="(%1)"/>
      <w:numFmt w:val="lowerLetter"/>
      <w:start w:val="1"/>
    </w:lvl>
  </w:abstractNum>
  <w:abstractNum w:abstractNumId="29">
    <w:nsid w:val="7FFFCA11"/>
    <w:multiLevelType w:val="hybridMultilevel"/>
    <w:lvl w:ilvl="0">
      <w:lvlJc w:val="left"/>
      <w:lvlText w:val="(%1)"/>
      <w:numFmt w:val="lowerLetter"/>
      <w:start w:val="1"/>
    </w:lvl>
  </w:abstractNum>
  <w:abstractNum w:abstractNumId="30">
    <w:nsid w:val="1A27709E"/>
    <w:multiLevelType w:val="hybridMultilevel"/>
    <w:lvl w:ilvl="0">
      <w:lvlJc w:val="left"/>
      <w:lvlText w:val="(%1)"/>
      <w:numFmt w:val="lowerLetter"/>
      <w:start w:val="2"/>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2"/>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Letter"/>
      <w:start w:val="1"/>
    </w:lvl>
    <w:lvl w:ilvl="1">
      <w:lvlJc w:val="left"/>
      <w:lvlText w:val="(%2)"/>
      <w:numFmt w:val="lowerRoman"/>
      <w:start w:val="1"/>
    </w:lvl>
  </w:abstractNum>
  <w:abstractNum w:abstractNumId="36">
    <w:nsid w:val="94211F2"/>
    <w:multiLevelType w:val="hybridMultilevel"/>
    <w:lvl w:ilvl="0">
      <w:lvlJc w:val="left"/>
      <w:lvlText w:val="(%1)"/>
      <w:numFmt w:val="lowerLetter"/>
      <w:start w:val="4"/>
    </w:lvl>
  </w:abstractNum>
  <w:abstractNum w:abstractNumId="37">
    <w:nsid w:val="885E1B"/>
    <w:multiLevelType w:val="hybridMultilevel"/>
    <w:lvl w:ilvl="0">
      <w:lvlJc w:val="left"/>
      <w:lvlText w:val="(%1)"/>
      <w:numFmt w:val="lowerLetter"/>
      <w:start w:val="1"/>
    </w:lvl>
    <w:lvl w:ilvl="1">
      <w:lvlJc w:val="left"/>
      <w:lvlText w:val="(%2)"/>
      <w:numFmt w:val="lowerLetter"/>
      <w:start w:val="9"/>
    </w:lvl>
  </w:abstractNum>
  <w:abstractNum w:abstractNumId="38">
    <w:nsid w:val="76272110"/>
    <w:multiLevelType w:val="hybridMultilevel"/>
    <w:lvl w:ilvl="0">
      <w:lvlJc w:val="left"/>
      <w:lvlText w:val="%1"/>
      <w:numFmt w:val="lowerLetter"/>
      <w:start w:val="1"/>
    </w:lvl>
    <w:lvl w:ilvl="1">
      <w:lvlJc w:val="left"/>
      <w:lvlText w:val="(%2)"/>
      <w:numFmt w:val="lowerLetter"/>
      <w:start w:val="35"/>
    </w:lvl>
  </w:abstractNum>
  <w:abstractNum w:abstractNumId="39">
    <w:nsid w:val="4C04A8AF"/>
    <w:multiLevelType w:val="hybridMultilevel"/>
    <w:lvl w:ilvl="0">
      <w:lvlJc w:val="left"/>
      <w:lvlText w:val="(%1)"/>
      <w:numFmt w:val="lowerLetter"/>
      <w:start w:val="2"/>
    </w:lvl>
    <w:lvl w:ilvl="1">
      <w:lvlJc w:val="left"/>
      <w:lvlText w:val="%2"/>
      <w:numFmt w:val="lowerLetter"/>
      <w:start w:val="1"/>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1"/>
    </w:lvl>
    <w:lvl w:ilvl="1">
      <w:lvlJc w:val="left"/>
      <w:lvlText w:val="(%2)"/>
      <w:numFmt w:val="lowerRoman"/>
      <w:start w:val="1"/>
    </w:lvl>
  </w:abstractNum>
  <w:abstractNum w:abstractNumId="42">
    <w:nsid w:val="3222E7CD"/>
    <w:multiLevelType w:val="hybridMultilevel"/>
    <w:lvl w:ilvl="0">
      <w:lvlJc w:val="left"/>
      <w:lvlText w:val="(%1)"/>
      <w:numFmt w:val="lowerLetter"/>
      <w:start w:val="1"/>
    </w:lvl>
  </w:abstractNum>
  <w:abstractNum w:abstractNumId="43">
    <w:nsid w:val="74DE0EE3"/>
    <w:multiLevelType w:val="hybridMultilevel"/>
    <w:lvl w:ilvl="0">
      <w:lvlJc w:val="left"/>
      <w:lvlText w:val="%1"/>
      <w:numFmt w:val="lowerLetter"/>
      <w:start w:val="1"/>
    </w:lvl>
    <w:lvl w:ilvl="1">
      <w:lvlJc w:val="left"/>
      <w:lvlText w:val="(%2)"/>
      <w:numFmt w:val="lowerLetter"/>
      <w:start w:val="4"/>
    </w:lvl>
  </w:abstractNum>
  <w:abstractNum w:abstractNumId="44">
    <w:nsid w:val="68EBC550"/>
    <w:multiLevelType w:val="hybridMultilevel"/>
    <w:lvl w:ilvl="0">
      <w:lvlJc w:val="left"/>
      <w:lvlText w:val="(%1)"/>
      <w:numFmt w:val="lowerLetter"/>
      <w:start w:val="35"/>
    </w:lvl>
    <w:lvl w:ilvl="1">
      <w:lvlJc w:val="left"/>
      <w:lvlText w:val="(%2)"/>
      <w:numFmt w:val="lowerLetter"/>
      <w:start w:val="5"/>
    </w:lvl>
  </w:abstractNum>
  <w:abstractNum w:abstractNumId="45">
    <w:nsid w:val="2DF6D648"/>
    <w:multiLevelType w:val="hybridMultilevel"/>
    <w:lvl w:ilvl="0">
      <w:lvlJc w:val="left"/>
      <w:lvlText w:val="(%1)"/>
      <w:numFmt w:val="lowerLetter"/>
      <w:start w:val="1"/>
    </w:lvl>
  </w:abstractNum>
  <w:abstractNum w:abstractNumId="46">
    <w:nsid w:val="46B7D447"/>
    <w:multiLevelType w:val="hybridMultilevel"/>
    <w:lvl w:ilvl="0">
      <w:lvlJc w:val="left"/>
      <w:lvlText w:val="(%1)"/>
      <w:numFmt w:val="lowerLetter"/>
      <w:start w:val="4"/>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3"/>
    </w:lvl>
  </w:abstractNum>
  <w:abstractNum w:abstractNumId="49">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
    <w:nsid w:val="CC1016F"/>
    <w:multiLevelType w:val="hybridMultilevel"/>
    <w:lvl w:ilvl="0">
      <w:lvlJc w:val="left"/>
      <w:lvlText w:val="%1"/>
      <w:numFmt w:val="lowerRoman"/>
      <w:start w:val="1"/>
    </w:lvl>
    <w:lvl w:ilvl="1">
      <w:lvlJc w:val="left"/>
      <w:lvlText w:val="(%2)"/>
      <w:numFmt w:val="lowerRoman"/>
      <w:start w:val="2"/>
    </w:lvl>
  </w:abstractNum>
  <w:abstractNum w:abstractNumId="51">
    <w:nsid w:val="43F18422"/>
    <w:multiLevelType w:val="hybridMultilevel"/>
    <w:lvl w:ilvl="0">
      <w:lvlJc w:val="left"/>
      <w:lvlText w:val="(%1)"/>
      <w:numFmt w:val="lowerRoman"/>
      <w:start w:val="10"/>
    </w:lvl>
    <w:lvl w:ilvl="1">
      <w:lvlJc w:val="left"/>
      <w:lvlText w:val="(%2)"/>
      <w:numFmt w:val="lowerRoman"/>
      <w:start w:val="3"/>
    </w:lvl>
  </w:abstractNum>
  <w:abstractNum w:abstractNumId="52">
    <w:nsid w:val="60EF0119"/>
    <w:multiLevelType w:val="hybridMultilevel"/>
    <w:lvl w:ilvl="0">
      <w:lvlJc w:val="left"/>
      <w:lvlText w:val="(%1)"/>
      <w:numFmt w:val="lowerRoman"/>
      <w:start w:val="5"/>
    </w:lvl>
  </w:abstractNum>
  <w:abstractNum w:abstractNumId="53">
    <w:nsid w:val="26F324BA"/>
    <w:multiLevelType w:val="hybridMultilevel"/>
    <w:lvl w:ilvl="0">
      <w:lvlJc w:val="left"/>
      <w:lvlText w:val="%1"/>
      <w:numFmt w:val="lowerLetter"/>
      <w:start w:val="1"/>
    </w:lvl>
    <w:lvl w:ilvl="1">
      <w:lvlJc w:val="left"/>
      <w:lvlText w:val="(%2)"/>
      <w:numFmt w:val="lowerRoman"/>
      <w:start w:val="7"/>
    </w:lvl>
  </w:abstractNum>
  <w:abstractNum w:abstractNumId="54">
    <w:nsid w:val="7F01579B"/>
    <w:multiLevelType w:val="hybridMultilevel"/>
    <w:lvl w:ilvl="0">
      <w:lvlJc w:val="left"/>
      <w:lvlText w:val="(%1)"/>
      <w:numFmt w:val="lowerLetter"/>
      <w:start w:val="2"/>
    </w:lvl>
    <w:lvl w:ilvl="1">
      <w:lvlJc w:val="left"/>
      <w:lvlText w:val="(%2)"/>
      <w:numFmt w:val="lowerRoman"/>
      <w:start w:val="1"/>
    </w:lvl>
  </w:abstractNum>
  <w:abstractNum w:abstractNumId="55">
    <w:nsid w:val="49DA307D"/>
    <w:multiLevelType w:val="hybridMultilevel"/>
    <w:lvl w:ilvl="0">
      <w:lvlJc w:val="left"/>
      <w:lvlText w:val="(%1)"/>
      <w:numFmt w:val="lowerLetter"/>
      <w:start w:val="1"/>
    </w:lvl>
    <w:lvl w:ilvl="1">
      <w:lvlJc w:val="left"/>
      <w:lvlText w:val="(%2)"/>
      <w:numFmt w:val="lowerRoman"/>
      <w:start w:val="1"/>
    </w:lvl>
  </w:abstractNum>
  <w:abstractNum w:abstractNumId="56">
    <w:nsid w:val="7055A5F5"/>
    <w:multiLevelType w:val="hybridMultilevel"/>
    <w:lvl w:ilvl="0">
      <w:lvlJc w:val="left"/>
      <w:lvlText w:val="(%1)"/>
      <w:numFmt w:val="lowerLetter"/>
      <w:start w:val="2"/>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abstractNum>
  <w:abstractNum w:abstractNumId="59">
    <w:nsid w:val="488AC1A"/>
    <w:multiLevelType w:val="hybridMultilevel"/>
    <w:lvl w:ilvl="0">
      <w:lvlJc w:val="left"/>
      <w:lvlText w:val="%1"/>
      <w:numFmt w:val="lowerRoman"/>
      <w:start w:val="1"/>
    </w:lvl>
    <w:lvl w:ilvl="1">
      <w:lvlJc w:val="left"/>
      <w:lvlText w:val="(%2)"/>
      <w:numFmt w:val="upperLetter"/>
      <w:start w:val="3"/>
    </w:lvl>
  </w:abstractNum>
  <w:abstractNum w:abstractNumId="60">
    <w:nsid w:val="5FB8011C"/>
    <w:multiLevelType w:val="hybridMultilevel"/>
    <w:lvl w:ilvl="0">
      <w:lvlJc w:val="left"/>
      <w:lvlText w:val="(%1)"/>
      <w:numFmt w:val="lowerRoman"/>
      <w:start w:val="3"/>
    </w:lvl>
    <w:lvl w:ilvl="1">
      <w:lvlJc w:val="left"/>
      <w:lvlText w:val="%2"/>
      <w:numFmt w:val="upperLetter"/>
      <w:start w:val="1"/>
    </w:lvl>
  </w:abstractNum>
  <w:abstractNum w:abstractNumId="61">
    <w:nsid w:val="6AA78F7F"/>
    <w:multiLevelType w:val="hybridMultilevel"/>
    <w:lvl w:ilvl="0">
      <w:lvlJc w:val="left"/>
      <w:lvlText w:val="(%1)"/>
      <w:numFmt w:val="lowerLetter"/>
      <w:start w:val="7"/>
    </w:lvl>
  </w:abstractNum>
  <w:abstractNum w:abstractNumId="62">
    <w:nsid w:val="7672BD23"/>
    <w:multiLevelType w:val="hybridMultilevel"/>
    <w:lvl w:ilvl="0">
      <w:lvlJc w:val="left"/>
      <w:lvlText w:val="(%1)"/>
      <w:numFmt w:val="lowerLetter"/>
      <w:start w:val="1"/>
    </w:lvl>
  </w:abstractNum>
  <w:abstractNum w:abstractNumId="63">
    <w:nsid w:val="6FC75AF8"/>
    <w:multiLevelType w:val="hybridMultilevel"/>
    <w:lvl w:ilvl="0">
      <w:lvlJc w:val="left"/>
      <w:lvlText w:val="(%1)"/>
      <w:numFmt w:val="lowerLetter"/>
      <w:start w:val="2"/>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6"/>
    </w:lvl>
  </w:abstractNum>
  <w:abstractNum w:abstractNumId="66">
    <w:nsid w:val="5F3534A4"/>
    <w:multiLevelType w:val="hybridMultilevel"/>
    <w:lvl w:ilvl="0">
      <w:lvlJc w:val="left"/>
      <w:lvlText w:val="(%1)"/>
      <w:numFmt w:val="lowerLetter"/>
      <w:start w:val="14"/>
    </w:lvl>
  </w:abstractNum>
  <w:abstractNum w:abstractNumId="67">
    <w:nsid w:val="73A1821B"/>
    <w:multiLevelType w:val="hybridMultilevel"/>
    <w:lvl w:ilvl="0">
      <w:lvlJc w:val="left"/>
      <w:lvlText w:val="(%1)"/>
      <w:numFmt w:val="lowerLetter"/>
      <w:start w:val="2"/>
    </w:lvl>
  </w:abstractNum>
  <w:abstractNum w:abstractNumId="68">
    <w:nsid w:val="7DE67713"/>
    <w:multiLevelType w:val="hybridMultilevel"/>
    <w:lvl w:ilvl="0">
      <w:lvlJc w:val="left"/>
      <w:lvlText w:val="%1"/>
      <w:numFmt w:val="lowerLetter"/>
      <w:start w:val="1"/>
    </w:lvl>
    <w:lvl w:ilvl="1">
      <w:lvlJc w:val="left"/>
      <w:lvlText w:val="(%2)"/>
      <w:numFmt w:val="lowerLetter"/>
      <w:start w:val="1"/>
    </w:lvl>
  </w:abstractNum>
  <w:abstractNum w:abstractNumId="69">
    <w:nsid w:val="555C55B5"/>
    <w:multiLevelType w:val="hybridMultilevel"/>
    <w:lvl w:ilvl="0">
      <w:lvlJc w:val="left"/>
      <w:lvlText w:val="(%1)"/>
      <w:numFmt w:val="lowerLetter"/>
      <w:start w:val="9"/>
    </w:lvl>
    <w:lvl w:ilvl="1">
      <w:lvlJc w:val="left"/>
      <w:lvlText w:val="%2"/>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2"/>
    </w:lvl>
  </w:abstractNum>
  <w:abstractNum w:abstractNumId="72">
    <w:nsid w:val="6A3DD3E8"/>
    <w:multiLevelType w:val="hybridMultilevel"/>
    <w:lvl w:ilvl="0">
      <w:lvlJc w:val="left"/>
      <w:lvlText w:val="%1"/>
      <w:numFmt w:val="lowerLetter"/>
      <w:start w:val="1"/>
    </w:lvl>
    <w:lvl w:ilvl="1">
      <w:lvlJc w:val="left"/>
      <w:lvlText w:val="(%2)"/>
      <w:numFmt w:val="lowerLetter"/>
      <w:start w:val="1"/>
    </w:lvl>
  </w:abstractNum>
  <w:abstractNum w:abstractNumId="73">
    <w:nsid w:val="71C91298"/>
    <w:multiLevelType w:val="hybridMultilevel"/>
    <w:lvl w:ilvl="0">
      <w:lvlJc w:val="left"/>
      <w:lvlText w:val="(%1)"/>
      <w:numFmt w:val="lowerLetter"/>
      <w:start w:val="35"/>
    </w:lvl>
    <w:lvl w:ilvl="1">
      <w:lvlJc w:val="left"/>
      <w:lvlText w:val="%2"/>
      <w:numFmt w:val="lowerLetter"/>
      <w:start w:val="1"/>
    </w:lvl>
  </w:abstractNum>
  <w:abstractNum w:abstractNumId="74">
    <w:nsid w:val="9DAF632"/>
    <w:multiLevelType w:val="hybridMultilevel"/>
    <w:lvl w:ilvl="0">
      <w:lvlJc w:val="left"/>
      <w:lvlText w:val="(%1)"/>
      <w:numFmt w:val="lowerLetter"/>
      <w:start w:val="3"/>
    </w:lvl>
  </w:abstractNum>
  <w:abstractNum w:abstractNumId="75">
    <w:nsid w:val="53299938"/>
    <w:multiLevelType w:val="hybridMultilevel"/>
    <w:lvl w:ilvl="0">
      <w:lvlJc w:val="left"/>
      <w:lvlText w:val="%1"/>
      <w:numFmt w:val="decimal"/>
      <w:start w:val="1"/>
    </w:lvl>
    <w:lvl w:ilvl="1">
      <w:lvlJc w:val="left"/>
      <w:lvlText w:val="(%2)"/>
      <w:numFmt w:val="lowerLetter"/>
      <w:start w:val="7"/>
    </w:lvl>
  </w:abstractNum>
  <w:abstractNum w:abstractNumId="76">
    <w:nsid w:val="1FBFE8E0"/>
    <w:multiLevelType w:val="hybridMultilevel"/>
    <w:lvl w:ilvl="0">
      <w:lvlJc w:val="left"/>
      <w:lvlText w:val="(%1)"/>
      <w:numFmt w:val="decimal"/>
      <w:start w:val="1"/>
    </w:lvl>
    <w:lvl w:ilvl="1">
      <w:lvlJc w:val="left"/>
      <w:lvlText w:val="(%2)"/>
      <w:numFmt w:val="lowerLetter"/>
      <w:start w:val="9"/>
    </w:lvl>
  </w:abstractNum>
  <w:abstractNum w:abstractNumId="77">
    <w:nsid w:val="5092CA79"/>
    <w:multiLevelType w:val="hybridMultilevel"/>
    <w:lvl w:ilvl="0">
      <w:lvlJc w:val="left"/>
      <w:lvlText w:val="(%1)"/>
      <w:numFmt w:val="lowerLetter"/>
      <w:start w:val="12"/>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Roman"/>
      <w:start w:val="1"/>
    </w:lvl>
  </w:abstractNum>
  <w:abstractNum w:abstractNumId="80">
    <w:nsid w:val="288F1A34"/>
    <w:multiLevelType w:val="hybridMultilevel"/>
    <w:lvl w:ilvl="0">
      <w:lvlJc w:val="left"/>
      <w:lvlText w:val="%1"/>
      <w:numFmt w:val="lowerLetter"/>
      <w:start w:val="1"/>
    </w:lvl>
    <w:lvl w:ilvl="1">
      <w:lvlJc w:val="left"/>
      <w:lvlText w:val="(%2)"/>
      <w:numFmt w:val="lowerRoman"/>
      <w:start w:val="3"/>
    </w:lvl>
  </w:abstractNum>
  <w:abstractNum w:abstractNumId="81">
    <w:nsid w:val="2A155DBC"/>
    <w:multiLevelType w:val="hybridMultilevel"/>
    <w:lvl w:ilvl="0">
      <w:lvlJc w:val="left"/>
      <w:lvlText w:val="(%1)"/>
      <w:numFmt w:val="lowerLetter"/>
      <w:start w:val="2"/>
    </w:lvl>
    <w:lvl w:ilvl="1">
      <w:lvlJc w:val="left"/>
      <w:lvlText w:val="%2"/>
      <w:numFmt w:val="lowerRoman"/>
      <w:start w:val="1"/>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lowerLetter"/>
      <w:start w:val="2"/>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Letter"/>
      <w:start w:val="3"/>
    </w:lvl>
  </w:abstractNum>
  <w:abstractNum w:abstractNumId="86">
    <w:nsid w:val="53584BCB"/>
    <w:multiLevelType w:val="hybridMultilevel"/>
    <w:lvl w:ilvl="0">
      <w:lvlJc w:val="left"/>
      <w:lvlText w:val="%1"/>
      <w:numFmt w:val="lowerLetter"/>
      <w:start w:val="1"/>
    </w:lvl>
    <w:lvl w:ilvl="1">
      <w:lvlJc w:val="left"/>
      <w:lvlText w:val="(%2)"/>
      <w:numFmt w:val="lowerLetter"/>
      <w:start w:val="8"/>
    </w:lvl>
  </w:abstractNum>
  <w:abstractNum w:abstractNumId="87">
    <w:nsid w:val="415E286C"/>
    <w:multiLevelType w:val="hybridMultilevel"/>
    <w:lvl w:ilvl="0">
      <w:lvlJc w:val="left"/>
      <w:lvlText w:val="(%1)"/>
      <w:numFmt w:val="lowerLetter"/>
      <w:start w:val="24"/>
    </w:lvl>
    <w:lvl w:ilvl="1">
      <w:lvlJc w:val="left"/>
      <w:lvlText w:val="(%2)"/>
      <w:numFmt w:val="lowerLetter"/>
      <w:start w:val="16"/>
    </w:lvl>
  </w:abstractNum>
  <w:abstractNum w:abstractNumId="88">
    <w:nsid w:val="7C58FD05"/>
    <w:multiLevelType w:val="hybridMultilevel"/>
    <w:lvl w:ilvl="0">
      <w:lvlJc w:val="left"/>
      <w:lvlText w:val="(%1)"/>
      <w:numFmt w:val="lowerLetter"/>
      <w:start w:val="17"/>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7"/>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3"/>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4"/>
    </w:lvl>
  </w:abstractNum>
  <w:abstractNum w:abstractNumId="95">
    <w:nsid w:val="78DF6A55"/>
    <w:multiLevelType w:val="hybridMultilevel"/>
    <w:lvl w:ilvl="0">
      <w:lvlJc w:val="left"/>
      <w:lvlText w:val="(%1)"/>
      <w:numFmt w:val="lowerRoman"/>
      <w:start w:val="1"/>
    </w:lvl>
  </w:abstractNum>
  <w:abstractNum w:abstractNumId="96">
    <w:nsid w:val="39B7AAA2"/>
    <w:multiLevelType w:val="hybridMultilevel"/>
    <w:lvl w:ilvl="0">
      <w:lvlJc w:val="left"/>
      <w:lvlText w:val="(%1)"/>
      <w:numFmt w:val="lowerLetter"/>
      <w:start w:val="10"/>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3"/>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6"/>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2"/>
    </w:lvl>
  </w:abstractNum>
  <w:abstractNum w:abstractNumId="105">
    <w:nsid w:val="5675FF36"/>
    <w:multiLevelType w:val="hybridMultilevel"/>
    <w:lvl w:ilvl="0">
      <w:lvlJc w:val="left"/>
      <w:lvlText w:val="(%1)"/>
      <w:numFmt w:val="lowerLetter"/>
      <w:start w:val="1"/>
    </w:lvl>
  </w:abstractNum>
  <w:abstractNum w:abstractNumId="106">
    <w:nsid w:val="3DD15094"/>
    <w:multiLevelType w:val="hybridMultilevel"/>
    <w:lvl w:ilvl="0">
      <w:lvlJc w:val="left"/>
      <w:lvlText w:val="(%1)"/>
      <w:numFmt w:val="lowerLetter"/>
      <w:start w:val="2"/>
    </w:lvl>
  </w:abstractNum>
  <w:abstractNum w:abstractNumId="107">
    <w:nsid w:val="3DB012B3"/>
    <w:multiLevelType w:val="hybridMultilevel"/>
    <w:lvl w:ilvl="0">
      <w:lvlJc w:val="left"/>
      <w:lvlText w:val="(%1)"/>
      <w:numFmt w:val="lowerLetter"/>
      <w:start w:val="7"/>
    </w:lvl>
  </w:abstractNum>
  <w:abstractNum w:abstractNumId="108">
    <w:nsid w:val="2708C9AF"/>
    <w:multiLevelType w:val="hybridMultilevel"/>
    <w:lvl w:ilvl="0">
      <w:lvlJc w:val="left"/>
      <w:lvlText w:val="(%1)"/>
      <w:numFmt w:val="lowerLetter"/>
      <w:start w:val="13"/>
    </w:lvl>
  </w:abstractNum>
  <w:abstractNum w:abstractNumId="109">
    <w:nsid w:val="5B25ACE2"/>
    <w:multiLevelType w:val="hybridMultilevel"/>
    <w:lvl w:ilvl="0">
      <w:lvlJc w:val="left"/>
      <w:lvlText w:val="(%1)"/>
      <w:numFmt w:val="lowerRoman"/>
      <w:start w:val="1"/>
    </w:lvl>
  </w:abstractNum>
  <w:abstractNum w:abstractNumId="110">
    <w:nsid w:val="175DFCF0"/>
    <w:multiLevelType w:val="hybridMultilevel"/>
    <w:lvl w:ilvl="0">
      <w:lvlJc w:val="left"/>
      <w:lvlText w:val="(%1)"/>
      <w:numFmt w:val="lowerRoman"/>
      <w:start w:val="2"/>
    </w:lvl>
  </w:abstractNum>
  <w:abstractNum w:abstractNumId="111">
    <w:nsid w:val="4F97E3E4"/>
    <w:multiLevelType w:val="hybridMultilevel"/>
    <w:lvl w:ilvl="0">
      <w:lvlJc w:val="left"/>
      <w:lvlText w:val="%1"/>
      <w:numFmt w:val="lowerLetter"/>
      <w:start w:val="1"/>
    </w:lvl>
    <w:lvl w:ilvl="1">
      <w:lvlJc w:val="left"/>
      <w:lvlText w:val="(%2)"/>
      <w:numFmt w:val="lowerLetter"/>
      <w:start w:val="1"/>
    </w:lvl>
  </w:abstractNum>
  <w:abstractNum w:abstractNumId="112">
    <w:nsid w:val="53B0A9E"/>
    <w:multiLevelType w:val="hybridMultilevel"/>
    <w:lvl w:ilvl="0">
      <w:lvlJc w:val="left"/>
      <w:lvlText w:val="(%1)"/>
      <w:numFmt w:val="lowerLetter"/>
      <w:start w:val="2"/>
    </w:lvl>
    <w:lvl w:ilvl="1">
      <w:lvlJc w:val="left"/>
      <w:lvlText w:val="%2"/>
      <w:numFmt w:val="lowerLetter"/>
      <w:start w:val="1"/>
    </w:lvl>
  </w:abstractNum>
  <w:abstractNum w:abstractNumId="113">
    <w:nsid w:val="34FD6B4F"/>
    <w:multiLevelType w:val="hybridMultilevel"/>
    <w:lvl w:ilvl="0">
      <w:lvlJc w:val="left"/>
      <w:lvlText w:val="(%1)"/>
      <w:numFmt w:val="lowerRoman"/>
      <w:start w:val="1"/>
    </w:lvl>
  </w:abstractNum>
  <w:abstractNum w:abstractNumId="114">
    <w:nsid w:val="5915FF32"/>
    <w:multiLevelType w:val="hybridMultilevel"/>
    <w:lvl w:ilvl="0">
      <w:lvlJc w:val="left"/>
      <w:lvlText w:val="(%1)"/>
      <w:numFmt w:val="lowerRoman"/>
      <w:start w:val="2"/>
    </w:lvl>
  </w:abstractNum>
  <w:abstractNum w:abstractNumId="115">
    <w:nsid w:val="56438D15"/>
    <w:multiLevelType w:val="hybridMultilevel"/>
    <w:lvl w:ilvl="0">
      <w:lvlJc w:val="left"/>
      <w:lvlText w:val="%1"/>
      <w:numFmt w:val="lowerLetter"/>
      <w:start w:val="1"/>
    </w:lvl>
    <w:lvl w:ilvl="1">
      <w:lvlJc w:val="left"/>
      <w:lvlText w:val="(%2)"/>
      <w:numFmt w:val="lowerLetter"/>
      <w:start w:val="61"/>
    </w:lvl>
  </w:abstractNum>
  <w:abstractNum w:abstractNumId="116">
    <w:nsid w:val="519E3149"/>
    <w:multiLevelType w:val="hybridMultilevel"/>
    <w:lvl w:ilvl="0">
      <w:lvlJc w:val="left"/>
      <w:lvlText w:val="(%1)"/>
      <w:numFmt w:val="lowerLetter"/>
      <w:start w:val="2"/>
    </w:lvl>
    <w:lvl w:ilvl="1">
      <w:lvlJc w:val="left"/>
      <w:lvlText w:val="%2"/>
      <w:numFmt w:val="lowerLetter"/>
      <w:start w:val="1"/>
    </w:lvl>
  </w:abstractNum>
  <w:abstractNum w:abstractNumId="117">
    <w:nsid w:val="2C6E4AFD"/>
    <w:multiLevelType w:val="hybridMultilevel"/>
    <w:lvl w:ilvl="0">
      <w:lvlJc w:val="left"/>
      <w:lvlText w:val="(%1)"/>
      <w:numFmt w:val="lowerLetter"/>
      <w:start w:val="3"/>
    </w:lvl>
  </w:abstractNum>
  <w:abstractNum w:abstractNumId="118">
    <w:nsid w:val="17A1B582"/>
    <w:multiLevelType w:val="hybridMultilevel"/>
    <w:lvl w:ilvl="0">
      <w:lvlJc w:val="left"/>
      <w:lvlText w:val="(%1)"/>
      <w:numFmt w:val="lowerLetter"/>
      <w:start w:val="1"/>
    </w:lvl>
  </w:abstractNum>
  <w:abstractNum w:abstractNumId="119">
    <w:nsid w:val="4DF72E4E"/>
    <w:multiLevelType w:val="hybridMultilevel"/>
    <w:lvl w:ilvl="0">
      <w:lvlJc w:val="left"/>
      <w:lvlText w:val="(%1)"/>
      <w:numFmt w:val="lowerLetter"/>
      <w:start w:val="2"/>
    </w:lvl>
  </w:abstractNum>
  <w:abstractNum w:abstractNumId="120">
    <w:nsid w:val="5046B5A9"/>
    <w:multiLevelType w:val="hybridMultilevel"/>
    <w:lvl w:ilvl="0">
      <w:lvlJc w:val="left"/>
      <w:lvlText w:val="(%1)"/>
      <w:numFmt w:val="lowerLetter"/>
      <w:start w:val="4"/>
    </w:lvl>
  </w:abstractNum>
  <w:abstractNum w:abstractNumId="121">
    <w:nsid w:val="5D888A08"/>
    <w:multiLevelType w:val="hybridMultilevel"/>
    <w:lvl w:ilvl="0">
      <w:lvlJc w:val="left"/>
      <w:lvlText w:val="(%1)"/>
      <w:numFmt w:val="lowerLetter"/>
      <w:start w:val="1"/>
    </w:lvl>
  </w:abstractNum>
  <w:abstractNum w:abstractNumId="122">
    <w:nsid w:val="2A082C70"/>
    <w:multiLevelType w:val="hybridMultilevel"/>
    <w:lvl w:ilvl="0">
      <w:lvlJc w:val="left"/>
      <w:lvlText w:val="(%1)"/>
      <w:numFmt w:val="lowerLetter"/>
      <w:start w:val="2"/>
    </w:lvl>
    <w:lvl w:ilvl="1">
      <w:lvlJc w:val="left"/>
      <w:lvlText w:val="(%2)"/>
      <w:numFmt w:val="lowerRoman"/>
      <w:start w:val="1"/>
    </w:lvl>
  </w:abstractNum>
  <w:abstractNum w:abstractNumId="123">
    <w:nsid w:val="5EC6AFD4"/>
    <w:multiLevelType w:val="hybridMultilevel"/>
    <w:lvl w:ilvl="0">
      <w:lvlJc w:val="left"/>
      <w:lvlText w:val="(%1)"/>
      <w:numFmt w:val="lowerLetter"/>
      <w:start w:val="4"/>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lowerLetter"/>
      <w:start w:val="1"/>
    </w:lvl>
    <w:lvl w:ilvl="1">
      <w:lvlJc w:val="left"/>
      <w:lvlText w:val="(%2)"/>
      <w:numFmt w:val="lowerRoman"/>
      <w:start w:val="1"/>
    </w:lvl>
  </w:abstractNum>
  <w:abstractNum w:abstractNumId="126">
    <w:nsid w:val="57A61A29"/>
    <w:multiLevelType w:val="hybridMultilevel"/>
    <w:lvl w:ilvl="0">
      <w:lvlJc w:val="left"/>
      <w:lvlText w:val="(%1)"/>
      <w:numFmt w:val="lowerLetter"/>
      <w:start w:val="3"/>
    </w:lvl>
    <w:lvl w:ilvl="1">
      <w:lvlJc w:val="left"/>
      <w:lvlText w:val="(%2)"/>
      <w:numFmt w:val="lowerRoman"/>
      <w:start w:val="1"/>
    </w:lvl>
  </w:abstractNum>
  <w:abstractNum w:abstractNumId="127">
    <w:nsid w:val="5399C654"/>
    <w:multiLevelType w:val="hybridMultilevel"/>
    <w:lvl w:ilvl="0">
      <w:lvlJc w:val="left"/>
      <w:lvlText w:val="(%1)"/>
      <w:numFmt w:val="lowerLetter"/>
      <w:start w:val="4"/>
    </w:lvl>
  </w:abstractNum>
  <w:abstractNum w:abstractNumId="128">
    <w:nsid w:val="20EE1348"/>
    <w:multiLevelType w:val="hybridMultilevel"/>
    <w:lvl w:ilvl="0">
      <w:lvlJc w:val="left"/>
      <w:lvlText w:val="(%1)"/>
      <w:numFmt w:val="lowerLetter"/>
      <w:start w:val="7"/>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decimal"/>
      <w:start w:val="2"/>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lowerLetter"/>
      <w:start w:val="1"/>
    </w:lvl>
    <w:lvl w:ilvl="1">
      <w:lvlJc w:val="left"/>
      <w:lvlText w:val="(%2)"/>
      <w:numFmt w:val="lowerRoman"/>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2026-04-14T05:06:15Z</dcterms:created>
  <dcterms:modified xsi:type="dcterms:W3CDTF">2026-04-14T05:06:15Z</dcterms:modified>
</cp:coreProperties>
</file>