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yfm20260403_8k.htm"/>
      <w:bookmarkStart w:id="1" w:name="kshyfm20260403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sz w:val="28"/>
        </w:rPr>
      </w:pPr>
      <w:r>
        <w:rPr>
          <w:rFonts w:ascii="Times New Roman" w:hAnsi="Times New Roman"/>
          <w:b/>
          <w:sz w:val="28"/>
        </w:rPr>
        <w:t>FORM 8-K</w:t>
      </w:r>
      <w:r>
        <w:rPr>
          <w:rFonts w:ascii="Times New Roman" w:hAnsi="Times New Roman"/>
          <w:sz w:val="28"/>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April 1, 2026</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Hydrofarm Holdings Group,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HorizontalLine"/>
        <w:pBdr>
          <w:bottom w:val="double" w:sz="2" w:space="0" w:color="808080"/>
        </w:pBdr>
        <w:bidi w:val="0"/>
        <w:spacing w:before="0" w:after="283"/>
        <w:jc w:val="left"/>
        <w:rPr/>
      </w:pPr>
      <w:r>
        <w:rPr/>
      </w:r>
    </w:p>
    <w:tbl>
      <w:tblPr>
        <w:tblW w:w="5220" w:type="dxa"/>
        <w:jc w:val="left"/>
        <w:tblInd w:w="0" w:type="dxa"/>
        <w:tblLayout w:type="fixed"/>
        <w:tblCellMar>
          <w:top w:w="0" w:type="dxa"/>
          <w:left w:w="0" w:type="dxa"/>
          <w:bottom w:w="28" w:type="dxa"/>
          <w:right w:w="0" w:type="dxa"/>
        </w:tblCellMar>
      </w:tblPr>
      <w:tblGrid>
        <w:gridCol w:w="2480"/>
        <w:gridCol w:w="60"/>
        <w:gridCol w:w="110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001-39773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81-4895761</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1510 Main Street</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Shoemakersville, PA</w:t>
      </w:r>
      <w:r>
        <w:rPr>
          <w:rFonts w:ascii="Times New Roman" w:hAnsi="Times New Roman"/>
          <w:caps w:val="false"/>
          <w:smallCaps w:val="false"/>
          <w:sz w:val="20"/>
        </w:rPr>
        <w:t> </w:t>
      </w:r>
      <w:r>
        <w:rPr>
          <w:rFonts w:ascii="Times New Roman" w:hAnsi="Times New Roman"/>
          <w:b/>
          <w:caps w:val="false"/>
          <w:smallCaps w:val="false"/>
          <w:sz w:val="20"/>
        </w:rPr>
        <w:t>19555</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(707) 765-9990</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85" w:type="dxa"/>
        <w:jc w:val="left"/>
        <w:tblInd w:w="0" w:type="dxa"/>
        <w:tblLayout w:type="fixed"/>
        <w:tblCellMar>
          <w:top w:w="28" w:type="dxa"/>
          <w:left w:w="28" w:type="dxa"/>
          <w:bottom w:w="28" w:type="dxa"/>
          <w:right w:w="0" w:type="dxa"/>
        </w:tblCellMar>
      </w:tblPr>
      <w:tblGrid>
        <w:gridCol w:w="3605"/>
        <w:gridCol w:w="1505"/>
        <w:gridCol w:w="3575"/>
      </w:tblGrid>
      <w:tr>
        <w:trPr/>
        <w:tc>
          <w:tcPr>
            <w:tcW w:w="36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15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HYFM</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3.01.</w:t>
      </w:r>
      <w:r>
        <w:rPr>
          <w:rFonts w:ascii="Times New Roman" w:hAnsi="Times New Roman"/>
          <w:caps w:val="false"/>
          <w:smallCaps w:val="false"/>
          <w:sz w:val="20"/>
        </w:rPr>
        <w:t xml:space="preserve"> </w:t>
      </w:r>
      <w:r>
        <w:rPr>
          <w:rFonts w:ascii="Times New Roman" w:hAnsi="Times New Roman"/>
          <w:b/>
          <w:caps w:val="false"/>
          <w:smallCaps w:val="false"/>
          <w:sz w:val="20"/>
        </w:rPr>
        <w:t>Notice of Delisting or Failure to Satisfy a Continued Listing Rule or Standard; Transfer of Listing.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April 1, 2026, Hydrofarm Holdings Group, Inc. (the “Company”) received a letter (the “Letter”) from the Listing Qualifications Department of The Nasdaq Stock Market LLC (“Nasdaq”) indicating that the Company was not in compliance with the minimum stockholders’ equity requirement for continued listing on the Nasdaq Capital Market, under Listing Rule 5550(b)(1), because the Company’s stockholders’ deficit of ($63,296,000) as reported in the Company’s Annual Report on Form 10-K for the fiscal year ended December 31, 2025 was below the required minimum of $2.5 million, and because, as of March 31, 2026, the Company did not meet the alternative compliance standards relating to the market value of listed securities of $35 million or net income from continuing operations of $500,000 in the most recently completed fiscal year or in two of the last three most recently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Letter has no immediate impact on the listing of the Company’s common stock, which will continue to be listed and traded on the Nasdaq Capital Market under the symbol “HYFM,” subject to the Company’s compliance with the other continued listing requirements. The Company has 45 calendar days from April 1, 2026, or until May 16, 2026, to submit to Nasdaq a plan to regain compliance with Listing Rule 5550(b)(1). If Nasdaq accepts the Company’s plan, Nasdaq may grant an extension of up to 180 calendar days from April 1, 2026, or until September 28, 2026, to regain compliance. If Nasdaq does not accept the Company’s plan, the Company will have the right to appeal such decision to a Nasdaq hearings panel. The hearing request would stay any suspension or delisting action pending the issuance of a written panel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currently evaluating various courses of action to regain compliance and intends to submit to Nasdaq, within the requisite time period, a plan to regain compliance with Listing Rule 5550(b)(1). There can be no assurance that Nasdaq will accept the Company’s plan or that the Company will be able to regain compliance with Listing Rule 5550(b)(1) or maintain compliance with any other Nasdaq requirement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by filing this Current Report on Form 8-K, discloses its receipt of the notification from Nasdaq in accordance with Listing Rule 5810(b).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Forward 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Section 27A of the Securities Act of 1933, as amended, Section 21E of the Securities Exchange Act of 1934, as amended (the “Exchange Act”), and the Private Securities Litigation Reform Act of 1995. These statements include statements made about the Company’s intent or ability to regain compliance with the minimum stockholders’ equity requirement and other continued listing requirements. Such statements are based on current assumptions that involve risks and uncertainties that could cause actual outcomes and results to differ materially. These risks and uncertainties, many of which are beyond the Company’s control, include risks described in the section entitled “Risk Factors” and elsewhere in the Company’s Annual Report on Form 10-K filing made with the SEC on March 27, 2026, and the Company’s other Exchange Act filings. In addition, these forward-looking statements may be subject to risks and uncertainties related to the Company’s ability to meet the continued listing standards of the Nasdaq Capital Market; the Company’s current level of indebtedness; the Company’s ability to maintain and preserve liquidity due to a variety of reasons, including industry conditions such as oversupply, fluctuations in the price of products and competitive industry pressures; and the Company’s ability to access additional sources of capital. These forward-looking statements speak only as of the date hereof and should not be unduly relied upon. The Company disclaims any obligation to update these forward-looking statements. All forward-looking statements in this document are qualified in their entirety by this cautionary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330" w:type="dxa"/>
        <w:jc w:val="left"/>
        <w:tblInd w:w="0" w:type="dxa"/>
        <w:tblLayout w:type="fixed"/>
        <w:tblCellMar>
          <w:top w:w="0" w:type="dxa"/>
          <w:left w:w="0" w:type="dxa"/>
          <w:bottom w:w="0" w:type="dxa"/>
          <w:right w:w="0" w:type="dxa"/>
        </w:tblCellMar>
      </w:tblPr>
      <w:tblGrid>
        <w:gridCol w:w="1580"/>
        <w:gridCol w:w="320"/>
        <w:gridCol w:w="545"/>
        <w:gridCol w:w="5885"/>
      </w:tblGrid>
      <w:tr>
        <w:trPr/>
        <w:tc>
          <w:tcPr>
            <w:tcW w:w="1580" w:type="dxa"/>
            <w:tcBorders/>
            <w:vAlign w:val="center"/>
          </w:tcPr>
          <w:p>
            <w:pPr>
              <w:pStyle w:val="TableContents"/>
              <w:bidi w:val="0"/>
              <w:spacing w:before="0" w:after="0"/>
              <w:ind w:left="0" w:right="0" w:hanging="0"/>
              <w:jc w:val="left"/>
              <w:rPr/>
            </w:pPr>
            <w:r>
              <w:rPr/>
              <w:t> </w:t>
            </w:r>
          </w:p>
        </w:tc>
        <w:tc>
          <w:tcPr>
            <w:tcW w:w="6750"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Hydrofarm Holdings Group, Inc.</w:t>
            </w:r>
          </w:p>
        </w:tc>
      </w:tr>
      <w:tr>
        <w:trPr/>
        <w:tc>
          <w:tcPr>
            <w:tcW w:w="158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885" w:type="dxa"/>
            <w:tcBorders/>
            <w:vAlign w:val="center"/>
          </w:tcPr>
          <w:p>
            <w:pPr>
              <w:pStyle w:val="TableContents"/>
              <w:bidi w:val="0"/>
              <w:spacing w:before="0" w:after="0"/>
              <w:ind w:left="0" w:right="0" w:hanging="0"/>
              <w:jc w:val="left"/>
              <w:rPr/>
            </w:pPr>
            <w:r>
              <w:rPr/>
              <w:t> </w:t>
            </w:r>
          </w:p>
        </w:tc>
      </w:tr>
      <w:tr>
        <w:trPr/>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April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643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Toler</w:t>
            </w:r>
          </w:p>
        </w:tc>
      </w:tr>
      <w:tr>
        <w:trPr/>
        <w:tc>
          <w:tcPr>
            <w:tcW w:w="158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58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158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58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&amp; Executive Chairman of the Board of Directors</w:t>
            </w:r>
          </w:p>
        </w:tc>
      </w:tr>
      <w:tr>
        <w:trPr/>
        <w:tc>
          <w:tcPr>
            <w:tcW w:w="158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8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5496</Characters>
  <CharactersWithSpaces>6503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